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FD9" w:rsidRDefault="00D64FD9"/>
    <w:tbl>
      <w:tblPr>
        <w:tblpPr w:leftFromText="180" w:rightFromText="180" w:horzAnchor="margin" w:tblpY="-871"/>
        <w:tblW w:w="7995" w:type="dxa"/>
        <w:tblLayout w:type="fixed"/>
        <w:tblCellMar>
          <w:left w:w="0" w:type="dxa"/>
          <w:right w:w="0" w:type="dxa"/>
        </w:tblCellMar>
        <w:tblLook w:val="0000" w:firstRow="0" w:lastRow="0" w:firstColumn="0" w:lastColumn="0" w:noHBand="0" w:noVBand="0"/>
      </w:tblPr>
      <w:tblGrid>
        <w:gridCol w:w="7995"/>
      </w:tblGrid>
      <w:tr w:rsidR="007451C0" w:rsidRPr="00E01A58" w:rsidTr="009A425A">
        <w:trPr>
          <w:trHeight w:val="400"/>
        </w:trPr>
        <w:tc>
          <w:tcPr>
            <w:tcW w:w="7995" w:type="dxa"/>
          </w:tcPr>
          <w:p w:rsidR="00E20E7D" w:rsidRPr="00E20E7D" w:rsidRDefault="00EC6056" w:rsidP="00E20E7D">
            <w:pPr>
              <w:pStyle w:val="Heading2Bold"/>
              <w:rPr>
                <w:rFonts w:ascii="Arial" w:hAnsi="Arial" w:cs="Arial"/>
              </w:rPr>
            </w:pPr>
            <w:r>
              <w:rPr>
                <w:rFonts w:ascii="Arial" w:hAnsi="Arial" w:cs="Arial"/>
              </w:rPr>
              <w:t>L</w:t>
            </w:r>
            <w:r w:rsidR="00175C53">
              <w:rPr>
                <w:rFonts w:ascii="Arial" w:hAnsi="Arial" w:cs="Arial"/>
              </w:rPr>
              <w:t xml:space="preserve">ocal </w:t>
            </w:r>
            <w:r>
              <w:rPr>
                <w:rFonts w:ascii="Arial" w:hAnsi="Arial" w:cs="Arial"/>
              </w:rPr>
              <w:t>G</w:t>
            </w:r>
            <w:r w:rsidR="00175C53">
              <w:rPr>
                <w:rFonts w:ascii="Arial" w:hAnsi="Arial" w:cs="Arial"/>
              </w:rPr>
              <w:t xml:space="preserve">overnment </w:t>
            </w:r>
            <w:r>
              <w:rPr>
                <w:rFonts w:ascii="Arial" w:hAnsi="Arial" w:cs="Arial"/>
              </w:rPr>
              <w:t>A</w:t>
            </w:r>
            <w:r w:rsidR="00175C53">
              <w:rPr>
                <w:rFonts w:ascii="Arial" w:hAnsi="Arial" w:cs="Arial"/>
              </w:rPr>
              <w:t>ssociation</w:t>
            </w:r>
            <w:r w:rsidR="00FA5CED">
              <w:rPr>
                <w:rFonts w:ascii="Arial" w:hAnsi="Arial" w:cs="Arial"/>
              </w:rPr>
              <w:t xml:space="preserve"> </w:t>
            </w:r>
          </w:p>
          <w:p w:rsidR="00E20E7D" w:rsidRPr="00E20E7D" w:rsidRDefault="00E20E7D" w:rsidP="00E20E7D">
            <w:pPr>
              <w:pStyle w:val="Heading2Bold"/>
              <w:rPr>
                <w:rFonts w:ascii="Arial" w:hAnsi="Arial" w:cs="Arial"/>
              </w:rPr>
            </w:pPr>
          </w:p>
          <w:p w:rsidR="0059155F" w:rsidRDefault="0059155F" w:rsidP="0059155F">
            <w:pPr>
              <w:pStyle w:val="MainText"/>
              <w:spacing w:line="240" w:lineRule="auto"/>
              <w:rPr>
                <w:rFonts w:ascii="Arial" w:hAnsi="Arial" w:cs="Arial"/>
                <w:b/>
                <w:sz w:val="28"/>
                <w:szCs w:val="28"/>
              </w:rPr>
            </w:pPr>
            <w:r w:rsidRPr="00A41EC4">
              <w:rPr>
                <w:rFonts w:ascii="Arial" w:hAnsi="Arial" w:cs="Arial"/>
                <w:b/>
                <w:sz w:val="28"/>
                <w:szCs w:val="28"/>
              </w:rPr>
              <w:t xml:space="preserve">Response to Consultation </w:t>
            </w:r>
            <w:r>
              <w:rPr>
                <w:rFonts w:ascii="Arial" w:hAnsi="Arial" w:cs="Arial"/>
                <w:b/>
                <w:sz w:val="28"/>
                <w:szCs w:val="28"/>
              </w:rPr>
              <w:t xml:space="preserve">on </w:t>
            </w:r>
            <w:proofErr w:type="spellStart"/>
            <w:r>
              <w:rPr>
                <w:rFonts w:ascii="Arial" w:hAnsi="Arial" w:cs="Arial"/>
                <w:b/>
                <w:sz w:val="28"/>
                <w:szCs w:val="28"/>
              </w:rPr>
              <w:t>Cipfa</w:t>
            </w:r>
            <w:proofErr w:type="spellEnd"/>
            <w:r>
              <w:rPr>
                <w:rFonts w:ascii="Arial" w:hAnsi="Arial" w:cs="Arial"/>
                <w:b/>
                <w:sz w:val="28"/>
                <w:szCs w:val="28"/>
              </w:rPr>
              <w:t xml:space="preserve"> Prudential Code for Capital Finance in Local Authorities and </w:t>
            </w:r>
            <w:proofErr w:type="spellStart"/>
            <w:r>
              <w:rPr>
                <w:rFonts w:ascii="Arial" w:hAnsi="Arial" w:cs="Arial"/>
                <w:b/>
                <w:sz w:val="28"/>
                <w:szCs w:val="28"/>
              </w:rPr>
              <w:t>Cipfa</w:t>
            </w:r>
            <w:proofErr w:type="spellEnd"/>
            <w:r>
              <w:rPr>
                <w:rFonts w:ascii="Arial" w:hAnsi="Arial" w:cs="Arial"/>
                <w:b/>
                <w:sz w:val="28"/>
                <w:szCs w:val="28"/>
              </w:rPr>
              <w:t xml:space="preserve"> Treasury Management Code of Practice</w:t>
            </w:r>
            <w:r w:rsidRPr="00A41EC4">
              <w:rPr>
                <w:rFonts w:ascii="Arial" w:hAnsi="Arial" w:cs="Arial"/>
                <w:b/>
                <w:sz w:val="28"/>
                <w:szCs w:val="28"/>
              </w:rPr>
              <w:t xml:space="preserve">  </w:t>
            </w:r>
          </w:p>
          <w:p w:rsidR="007451C0" w:rsidRPr="00E01A58" w:rsidRDefault="007451C0" w:rsidP="00E20E7D">
            <w:pPr>
              <w:pStyle w:val="Heading2Bold"/>
              <w:rPr>
                <w:rFonts w:ascii="Arial" w:hAnsi="Arial" w:cs="Arial"/>
              </w:rPr>
            </w:pPr>
          </w:p>
        </w:tc>
      </w:tr>
      <w:tr w:rsidR="00240BE4" w:rsidRPr="00240BE4" w:rsidTr="009A425A">
        <w:trPr>
          <w:trHeight w:hRule="exact" w:val="400"/>
        </w:trPr>
        <w:tc>
          <w:tcPr>
            <w:tcW w:w="7995" w:type="dxa"/>
          </w:tcPr>
          <w:p w:rsidR="007451C0" w:rsidRPr="00652044" w:rsidRDefault="00D54C54" w:rsidP="006B66EA">
            <w:pPr>
              <w:pStyle w:val="Heading2"/>
              <w:rPr>
                <w:rFonts w:ascii="Arial" w:hAnsi="Arial" w:cs="Arial"/>
                <w:b/>
              </w:rPr>
            </w:pPr>
            <w:bookmarkStart w:id="0" w:name="bmDocumentDate"/>
            <w:bookmarkEnd w:id="0"/>
            <w:r>
              <w:rPr>
                <w:rFonts w:ascii="Arial" w:hAnsi="Arial" w:cs="Arial"/>
                <w:b/>
              </w:rPr>
              <w:t>April 2017</w:t>
            </w:r>
            <w:r w:rsidR="004D36CF" w:rsidRPr="00652044">
              <w:rPr>
                <w:rFonts w:ascii="Arial" w:hAnsi="Arial" w:cs="Arial"/>
                <w:b/>
              </w:rPr>
              <w:t xml:space="preserve"> </w:t>
            </w:r>
          </w:p>
        </w:tc>
      </w:tr>
    </w:tbl>
    <w:p w:rsidR="00225477" w:rsidRPr="00E71843" w:rsidRDefault="00225477" w:rsidP="00B03297">
      <w:pPr>
        <w:jc w:val="both"/>
        <w:rPr>
          <w:rFonts w:ascii="Arial" w:hAnsi="Arial" w:cs="Arial"/>
          <w:sz w:val="20"/>
        </w:rPr>
      </w:pPr>
    </w:p>
    <w:p w:rsidR="00620AA4" w:rsidRPr="00E71843" w:rsidRDefault="00620AA4" w:rsidP="00B03297">
      <w:pPr>
        <w:jc w:val="both"/>
        <w:rPr>
          <w:rFonts w:ascii="Arial" w:hAnsi="Arial" w:cs="Arial"/>
          <w:sz w:val="20"/>
        </w:rPr>
        <w:sectPr w:rsidR="00620AA4" w:rsidRPr="00E71843" w:rsidSect="00EC6056">
          <w:headerReference w:type="default" r:id="rId11"/>
          <w:footerReference w:type="default" r:id="rId12"/>
          <w:pgSz w:w="11906" w:h="16838"/>
          <w:pgMar w:top="1701" w:right="2495" w:bottom="851" w:left="1418" w:header="335" w:footer="573" w:gutter="0"/>
          <w:cols w:space="720"/>
        </w:sectPr>
      </w:pPr>
    </w:p>
    <w:p w:rsidR="00620AA4" w:rsidRPr="003D3422" w:rsidRDefault="00EC6056" w:rsidP="00AC618A">
      <w:pPr>
        <w:spacing w:line="240" w:lineRule="auto"/>
        <w:jc w:val="both"/>
        <w:rPr>
          <w:rFonts w:ascii="Arial" w:hAnsi="Arial" w:cs="Arial"/>
          <w:b/>
          <w:szCs w:val="22"/>
        </w:rPr>
      </w:pPr>
      <w:r w:rsidRPr="003D3422">
        <w:rPr>
          <w:rFonts w:ascii="Arial" w:hAnsi="Arial" w:cs="Arial"/>
          <w:b/>
          <w:szCs w:val="22"/>
        </w:rPr>
        <w:lastRenderedPageBreak/>
        <w:t>About the Local Government Association</w:t>
      </w:r>
    </w:p>
    <w:p w:rsidR="00620AA4" w:rsidRPr="003D3422" w:rsidRDefault="00620AA4" w:rsidP="004846D7">
      <w:pPr>
        <w:spacing w:line="240" w:lineRule="auto"/>
        <w:ind w:left="360"/>
        <w:jc w:val="both"/>
        <w:rPr>
          <w:rFonts w:ascii="Arial" w:hAnsi="Arial" w:cs="Arial"/>
          <w:b/>
          <w:szCs w:val="22"/>
        </w:rPr>
      </w:pPr>
    </w:p>
    <w:p w:rsidR="00620AA4" w:rsidRPr="003D3422" w:rsidRDefault="006155B6" w:rsidP="00E20E7D">
      <w:pPr>
        <w:spacing w:line="240" w:lineRule="auto"/>
        <w:jc w:val="both"/>
        <w:rPr>
          <w:rFonts w:ascii="Arial" w:hAnsi="Arial" w:cs="Arial"/>
          <w:b/>
          <w:szCs w:val="22"/>
        </w:rPr>
      </w:pPr>
      <w:r w:rsidRPr="003D3422">
        <w:rPr>
          <w:rFonts w:ascii="Arial" w:hAnsi="Arial" w:cs="Arial"/>
          <w:szCs w:val="22"/>
          <w:lang w:eastAsia="ja-JP"/>
        </w:rPr>
        <w:t>The Local Government Association (LGA) is the national voice o</w:t>
      </w:r>
      <w:r w:rsidR="00620AA4" w:rsidRPr="003D3422">
        <w:rPr>
          <w:rFonts w:ascii="Arial" w:hAnsi="Arial" w:cs="Arial"/>
          <w:szCs w:val="22"/>
          <w:lang w:eastAsia="ja-JP"/>
        </w:rPr>
        <w:t xml:space="preserve">f local </w:t>
      </w:r>
      <w:r w:rsidRPr="003D3422">
        <w:rPr>
          <w:rFonts w:ascii="Arial" w:hAnsi="Arial" w:cs="Arial"/>
          <w:szCs w:val="22"/>
          <w:lang w:eastAsia="ja-JP"/>
        </w:rPr>
        <w:t xml:space="preserve">government. We work with councils to support, promote and improve local government. </w:t>
      </w:r>
    </w:p>
    <w:p w:rsidR="00620AA4" w:rsidRPr="003D3422" w:rsidRDefault="00620AA4" w:rsidP="00E20E7D">
      <w:pPr>
        <w:spacing w:line="240" w:lineRule="auto"/>
        <w:ind w:left="-371"/>
        <w:jc w:val="both"/>
        <w:rPr>
          <w:rFonts w:ascii="Arial" w:hAnsi="Arial" w:cs="Arial"/>
          <w:b/>
          <w:szCs w:val="22"/>
        </w:rPr>
      </w:pPr>
    </w:p>
    <w:p w:rsidR="006155B6" w:rsidRPr="003D3422" w:rsidRDefault="006155B6" w:rsidP="00E20E7D">
      <w:pPr>
        <w:spacing w:line="240" w:lineRule="auto"/>
        <w:jc w:val="both"/>
        <w:rPr>
          <w:rFonts w:ascii="Arial" w:hAnsi="Arial" w:cs="Arial"/>
          <w:b/>
          <w:szCs w:val="22"/>
        </w:rPr>
      </w:pPr>
      <w:r w:rsidRPr="003D3422">
        <w:rPr>
          <w:rFonts w:ascii="Arial" w:hAnsi="Arial" w:cs="Arial"/>
          <w:szCs w:val="22"/>
          <w:lang w:eastAsia="ja-JP"/>
        </w:rPr>
        <w:t>We are a politically-led, cross 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rsidR="00E20E7D" w:rsidRPr="003D3422" w:rsidRDefault="00E20E7D" w:rsidP="00E20E7D">
      <w:pPr>
        <w:pStyle w:val="ListParagraph"/>
        <w:ind w:left="-360"/>
        <w:rPr>
          <w:rFonts w:ascii="Arial" w:hAnsi="Arial" w:cs="Arial"/>
          <w:b/>
          <w:sz w:val="22"/>
          <w:szCs w:val="22"/>
        </w:rPr>
      </w:pPr>
    </w:p>
    <w:p w:rsidR="00E20E7D" w:rsidRPr="003D3422" w:rsidRDefault="00E20E7D" w:rsidP="00E20E7D">
      <w:pPr>
        <w:spacing w:line="240" w:lineRule="auto"/>
        <w:jc w:val="both"/>
        <w:rPr>
          <w:rFonts w:ascii="Arial" w:hAnsi="Arial" w:cs="Arial"/>
          <w:b/>
          <w:szCs w:val="22"/>
        </w:rPr>
      </w:pPr>
      <w:r w:rsidRPr="003D3422">
        <w:rPr>
          <w:rFonts w:ascii="Arial" w:hAnsi="Arial" w:cs="Arial"/>
          <w:szCs w:val="22"/>
        </w:rPr>
        <w:t xml:space="preserve">This response has been approved by </w:t>
      </w:r>
      <w:r w:rsidR="004532AF" w:rsidRPr="003D3422">
        <w:rPr>
          <w:rFonts w:ascii="Arial" w:hAnsi="Arial" w:cs="Arial"/>
          <w:szCs w:val="22"/>
        </w:rPr>
        <w:t>LGA</w:t>
      </w:r>
      <w:r w:rsidR="00FD253D" w:rsidRPr="003D3422">
        <w:rPr>
          <w:rFonts w:ascii="Arial" w:hAnsi="Arial" w:cs="Arial"/>
          <w:szCs w:val="22"/>
        </w:rPr>
        <w:t>’</w:t>
      </w:r>
      <w:r w:rsidR="00A139E4" w:rsidRPr="003D3422">
        <w:rPr>
          <w:rFonts w:ascii="Arial" w:hAnsi="Arial" w:cs="Arial"/>
          <w:szCs w:val="22"/>
        </w:rPr>
        <w:t xml:space="preserve">s </w:t>
      </w:r>
      <w:r w:rsidR="00E9643A" w:rsidRPr="003D3422">
        <w:rPr>
          <w:rFonts w:ascii="Arial" w:hAnsi="Arial" w:cs="Arial"/>
          <w:szCs w:val="22"/>
        </w:rPr>
        <w:t>Resources Board</w:t>
      </w:r>
      <w:r w:rsidR="00A139E4" w:rsidRPr="003D3422">
        <w:rPr>
          <w:rFonts w:ascii="Arial" w:hAnsi="Arial" w:cs="Arial"/>
          <w:szCs w:val="22"/>
        </w:rPr>
        <w:t>.</w:t>
      </w:r>
    </w:p>
    <w:p w:rsidR="00E20E7D" w:rsidRPr="003D3422" w:rsidRDefault="00E20E7D" w:rsidP="00E20E7D">
      <w:pPr>
        <w:pStyle w:val="ListParagraph"/>
        <w:rPr>
          <w:rFonts w:ascii="Arial" w:hAnsi="Arial" w:cs="Arial"/>
          <w:b/>
          <w:sz w:val="22"/>
          <w:szCs w:val="22"/>
        </w:rPr>
      </w:pPr>
    </w:p>
    <w:p w:rsidR="00A139E4" w:rsidRPr="003D3422" w:rsidRDefault="00FD253D" w:rsidP="00AC618A">
      <w:pPr>
        <w:spacing w:line="240" w:lineRule="auto"/>
        <w:jc w:val="both"/>
        <w:rPr>
          <w:rFonts w:ascii="Arial" w:hAnsi="Arial" w:cs="Arial"/>
          <w:b/>
          <w:szCs w:val="22"/>
        </w:rPr>
      </w:pPr>
      <w:r w:rsidRPr="003D3422">
        <w:rPr>
          <w:rFonts w:ascii="Arial" w:hAnsi="Arial" w:cs="Arial"/>
          <w:b/>
          <w:szCs w:val="22"/>
        </w:rPr>
        <w:t>General point</w:t>
      </w:r>
      <w:r w:rsidR="00A139E4" w:rsidRPr="003D3422">
        <w:rPr>
          <w:rFonts w:ascii="Arial" w:hAnsi="Arial" w:cs="Arial"/>
          <w:b/>
          <w:szCs w:val="22"/>
        </w:rPr>
        <w:t xml:space="preserve">s </w:t>
      </w:r>
    </w:p>
    <w:p w:rsidR="00A139E4" w:rsidRPr="003D3422" w:rsidRDefault="00A139E4" w:rsidP="00A139E4">
      <w:pPr>
        <w:spacing w:line="240" w:lineRule="auto"/>
        <w:ind w:left="360"/>
        <w:jc w:val="both"/>
        <w:rPr>
          <w:rFonts w:ascii="Arial" w:hAnsi="Arial" w:cs="Arial"/>
          <w:b/>
          <w:szCs w:val="22"/>
        </w:rPr>
      </w:pPr>
    </w:p>
    <w:p w:rsidR="00A139E4" w:rsidRPr="003D3422" w:rsidRDefault="00D54C54" w:rsidP="0059155F">
      <w:pPr>
        <w:widowControl/>
        <w:spacing w:after="160" w:line="259" w:lineRule="auto"/>
        <w:rPr>
          <w:rFonts w:ascii="Arial" w:hAnsi="Arial" w:cs="Arial"/>
          <w:b/>
          <w:szCs w:val="22"/>
        </w:rPr>
      </w:pPr>
      <w:r>
        <w:rPr>
          <w:rFonts w:ascii="Arial" w:eastAsiaTheme="minorHAnsi" w:hAnsi="Arial" w:cs="Arial"/>
          <w:szCs w:val="22"/>
        </w:rPr>
        <w:t xml:space="preserve">The LGA is </w:t>
      </w:r>
      <w:r w:rsidR="00A139E4" w:rsidRPr="003D3422">
        <w:rPr>
          <w:rFonts w:ascii="Arial" w:eastAsiaTheme="minorHAnsi" w:hAnsi="Arial" w:cs="Arial"/>
          <w:szCs w:val="22"/>
        </w:rPr>
        <w:t xml:space="preserve">of the opinion that </w:t>
      </w:r>
      <w:r w:rsidR="0059155F">
        <w:rPr>
          <w:rFonts w:ascii="Arial" w:eastAsiaTheme="minorHAnsi" w:hAnsi="Arial" w:cs="Arial"/>
          <w:szCs w:val="22"/>
        </w:rPr>
        <w:t xml:space="preserve">the arrangements introduced in 2002 (Treasury Management code) and 2004 (Prudential Code) have worked well and provide a good governance framework to be followed by local authorities. We are therefore of the strong opinion that the present review should not fundamentally alter </w:t>
      </w:r>
      <w:r w:rsidR="00535385">
        <w:rPr>
          <w:rFonts w:ascii="Arial" w:eastAsiaTheme="minorHAnsi" w:hAnsi="Arial" w:cs="Arial"/>
          <w:szCs w:val="22"/>
        </w:rPr>
        <w:t>th</w:t>
      </w:r>
      <w:r w:rsidR="000602C1">
        <w:rPr>
          <w:rFonts w:ascii="Arial" w:eastAsiaTheme="minorHAnsi" w:hAnsi="Arial" w:cs="Arial"/>
          <w:szCs w:val="22"/>
        </w:rPr>
        <w:t>e</w:t>
      </w:r>
      <w:r w:rsidR="00535385">
        <w:rPr>
          <w:rFonts w:ascii="Arial" w:eastAsiaTheme="minorHAnsi" w:hAnsi="Arial" w:cs="Arial"/>
          <w:szCs w:val="22"/>
        </w:rPr>
        <w:t>s</w:t>
      </w:r>
      <w:r w:rsidR="000602C1">
        <w:rPr>
          <w:rFonts w:ascii="Arial" w:eastAsiaTheme="minorHAnsi" w:hAnsi="Arial" w:cs="Arial"/>
          <w:szCs w:val="22"/>
        </w:rPr>
        <w:t>e</w:t>
      </w:r>
      <w:r w:rsidR="0059155F">
        <w:rPr>
          <w:rFonts w:ascii="Arial" w:eastAsiaTheme="minorHAnsi" w:hAnsi="Arial" w:cs="Arial"/>
          <w:szCs w:val="22"/>
        </w:rPr>
        <w:t xml:space="preserve"> arrangements.</w:t>
      </w:r>
    </w:p>
    <w:p w:rsidR="00E20E7D" w:rsidRDefault="00E20E7D">
      <w:pPr>
        <w:spacing w:line="240" w:lineRule="auto"/>
        <w:jc w:val="both"/>
        <w:rPr>
          <w:rFonts w:ascii="Arial" w:hAnsi="Arial" w:cs="Arial"/>
          <w:b/>
          <w:szCs w:val="22"/>
        </w:rPr>
      </w:pPr>
      <w:r w:rsidRPr="003D3422">
        <w:rPr>
          <w:rFonts w:ascii="Arial" w:hAnsi="Arial" w:cs="Arial"/>
          <w:b/>
          <w:szCs w:val="22"/>
        </w:rPr>
        <w:t xml:space="preserve">Response to </w:t>
      </w:r>
      <w:r w:rsidR="00D54C54">
        <w:rPr>
          <w:rFonts w:ascii="Arial" w:hAnsi="Arial" w:cs="Arial"/>
          <w:b/>
          <w:szCs w:val="22"/>
        </w:rPr>
        <w:t xml:space="preserve">specific </w:t>
      </w:r>
      <w:r w:rsidRPr="003D3422">
        <w:rPr>
          <w:rFonts w:ascii="Arial" w:hAnsi="Arial" w:cs="Arial"/>
          <w:b/>
          <w:szCs w:val="22"/>
        </w:rPr>
        <w:t>questions in the consultation</w:t>
      </w:r>
      <w:r w:rsidR="00FD253D" w:rsidRPr="003D3422">
        <w:rPr>
          <w:rFonts w:ascii="Arial" w:hAnsi="Arial" w:cs="Arial"/>
          <w:b/>
          <w:szCs w:val="22"/>
        </w:rPr>
        <w:t xml:space="preserve"> </w:t>
      </w:r>
    </w:p>
    <w:p w:rsidR="00D54C54" w:rsidRDefault="00D54C54">
      <w:pPr>
        <w:spacing w:line="240" w:lineRule="auto"/>
        <w:jc w:val="both"/>
        <w:rPr>
          <w:rFonts w:ascii="Arial" w:hAnsi="Arial" w:cs="Arial"/>
          <w:b/>
          <w:szCs w:val="22"/>
        </w:rPr>
      </w:pPr>
    </w:p>
    <w:p w:rsidR="00D54C54" w:rsidRDefault="001A4A4D">
      <w:pPr>
        <w:spacing w:line="240" w:lineRule="auto"/>
        <w:jc w:val="both"/>
        <w:rPr>
          <w:rFonts w:ascii="Arial" w:hAnsi="Arial" w:cs="Arial"/>
          <w:b/>
          <w:szCs w:val="22"/>
        </w:rPr>
      </w:pPr>
      <w:r>
        <w:rPr>
          <w:rFonts w:ascii="Arial" w:hAnsi="Arial" w:cs="Arial"/>
          <w:b/>
          <w:szCs w:val="22"/>
        </w:rPr>
        <w:t>Pruden</w:t>
      </w:r>
      <w:r w:rsidR="00D54C54">
        <w:rPr>
          <w:rFonts w:ascii="Arial" w:hAnsi="Arial" w:cs="Arial"/>
          <w:b/>
          <w:szCs w:val="22"/>
        </w:rPr>
        <w:t>tial code</w:t>
      </w:r>
    </w:p>
    <w:p w:rsidR="00D54C54" w:rsidRPr="003D3422" w:rsidRDefault="00D54C54">
      <w:pPr>
        <w:spacing w:line="240" w:lineRule="auto"/>
        <w:jc w:val="both"/>
        <w:rPr>
          <w:rFonts w:ascii="Arial" w:hAnsi="Arial" w:cs="Arial"/>
          <w:b/>
          <w:szCs w:val="22"/>
        </w:rPr>
      </w:pPr>
    </w:p>
    <w:p w:rsidR="00FD253D" w:rsidRPr="003D3422" w:rsidRDefault="00FD253D">
      <w:pPr>
        <w:spacing w:line="240" w:lineRule="auto"/>
        <w:jc w:val="both"/>
        <w:rPr>
          <w:rFonts w:ascii="Arial" w:hAnsi="Arial" w:cs="Arial"/>
          <w:i/>
          <w:szCs w:val="22"/>
        </w:rPr>
      </w:pPr>
      <w:r w:rsidRPr="00A02476">
        <w:rPr>
          <w:rFonts w:ascii="Arial" w:hAnsi="Arial" w:cs="Arial"/>
          <w:i/>
          <w:szCs w:val="22"/>
        </w:rPr>
        <w:t>Question 1</w:t>
      </w:r>
      <w:r w:rsidR="00DE1179">
        <w:rPr>
          <w:rFonts w:ascii="Arial" w:hAnsi="Arial" w:cs="Arial"/>
          <w:i/>
          <w:szCs w:val="22"/>
        </w:rPr>
        <w:t xml:space="preserve"> Do you consider the four objectives of the Prudential Code are still relevant</w:t>
      </w:r>
      <w:r w:rsidRPr="003D3422">
        <w:rPr>
          <w:rFonts w:ascii="Arial" w:hAnsi="Arial" w:cs="Arial"/>
          <w:i/>
          <w:szCs w:val="22"/>
        </w:rPr>
        <w:t>?</w:t>
      </w:r>
    </w:p>
    <w:p w:rsidR="00D54C54" w:rsidRPr="00A02476" w:rsidRDefault="00D54C54" w:rsidP="00D54C54">
      <w:pPr>
        <w:jc w:val="both"/>
        <w:rPr>
          <w:rFonts w:ascii="Arial" w:hAnsi="Arial" w:cs="Arial"/>
          <w:szCs w:val="22"/>
        </w:rPr>
      </w:pPr>
    </w:p>
    <w:p w:rsidR="00E9643A" w:rsidRDefault="00535385" w:rsidP="00A06315">
      <w:pPr>
        <w:jc w:val="both"/>
        <w:rPr>
          <w:rFonts w:ascii="Arial" w:hAnsi="Arial" w:cs="Arial"/>
          <w:szCs w:val="22"/>
        </w:rPr>
      </w:pPr>
      <w:r>
        <w:rPr>
          <w:rFonts w:ascii="Arial" w:hAnsi="Arial" w:cs="Arial"/>
          <w:szCs w:val="22"/>
        </w:rPr>
        <w:t>These objectives</w:t>
      </w:r>
      <w:r w:rsidR="009E4FF4">
        <w:rPr>
          <w:rFonts w:ascii="Arial" w:hAnsi="Arial" w:cs="Arial"/>
          <w:szCs w:val="22"/>
        </w:rPr>
        <w:t xml:space="preserve"> cover key factors underpinning local authority capital and </w:t>
      </w:r>
      <w:r>
        <w:rPr>
          <w:rFonts w:ascii="Arial" w:hAnsi="Arial" w:cs="Arial"/>
          <w:szCs w:val="22"/>
        </w:rPr>
        <w:t xml:space="preserve">are </w:t>
      </w:r>
      <w:r w:rsidR="00C37561">
        <w:rPr>
          <w:rFonts w:ascii="Arial" w:hAnsi="Arial" w:cs="Arial"/>
          <w:szCs w:val="22"/>
        </w:rPr>
        <w:t xml:space="preserve">still </w:t>
      </w:r>
      <w:r>
        <w:rPr>
          <w:rFonts w:ascii="Arial" w:hAnsi="Arial" w:cs="Arial"/>
          <w:szCs w:val="22"/>
        </w:rPr>
        <w:t>relevant to the way local authorities carry out their business.</w:t>
      </w:r>
      <w:r w:rsidR="009E4FF4">
        <w:rPr>
          <w:rFonts w:ascii="Arial" w:hAnsi="Arial" w:cs="Arial"/>
          <w:szCs w:val="22"/>
        </w:rPr>
        <w:t xml:space="preserve"> It is of clear relevance that capital expenditure is affordable, borrowing is prudent and sustainable, and that all relevant decisions are taken to professional standards in an open and accountable way.</w:t>
      </w:r>
    </w:p>
    <w:p w:rsidR="00535385" w:rsidRPr="003D3422" w:rsidRDefault="00535385" w:rsidP="00A06315">
      <w:pPr>
        <w:jc w:val="both"/>
        <w:rPr>
          <w:rFonts w:ascii="Arial" w:hAnsi="Arial" w:cs="Arial"/>
          <w:szCs w:val="22"/>
        </w:rPr>
      </w:pPr>
    </w:p>
    <w:p w:rsidR="00FD253D" w:rsidRPr="00A02476" w:rsidRDefault="00E20E7D" w:rsidP="00A06315">
      <w:pPr>
        <w:jc w:val="both"/>
        <w:rPr>
          <w:rFonts w:ascii="Arial" w:hAnsi="Arial" w:cs="Arial"/>
          <w:i/>
          <w:szCs w:val="22"/>
        </w:rPr>
      </w:pPr>
      <w:r w:rsidRPr="00A02476">
        <w:rPr>
          <w:rFonts w:ascii="Arial" w:hAnsi="Arial" w:cs="Arial"/>
          <w:i/>
          <w:szCs w:val="22"/>
        </w:rPr>
        <w:t xml:space="preserve">Question </w:t>
      </w:r>
      <w:r w:rsidR="00D54C54">
        <w:rPr>
          <w:rFonts w:ascii="Arial" w:hAnsi="Arial" w:cs="Arial"/>
          <w:i/>
          <w:szCs w:val="22"/>
        </w:rPr>
        <w:t>2</w:t>
      </w:r>
      <w:r w:rsidR="0059155F">
        <w:rPr>
          <w:rFonts w:ascii="Arial" w:hAnsi="Arial" w:cs="Arial"/>
          <w:i/>
          <w:szCs w:val="22"/>
        </w:rPr>
        <w:t xml:space="preserve"> Do you consider that the Prud</w:t>
      </w:r>
      <w:r w:rsidR="00DE1179">
        <w:rPr>
          <w:rFonts w:ascii="Arial" w:hAnsi="Arial" w:cs="Arial"/>
          <w:i/>
          <w:szCs w:val="22"/>
        </w:rPr>
        <w:t>ential Code achieves these four objectives?</w:t>
      </w:r>
    </w:p>
    <w:p w:rsidR="00FD253D" w:rsidRPr="00A02476" w:rsidRDefault="00FD253D" w:rsidP="00A06315">
      <w:pPr>
        <w:jc w:val="both"/>
        <w:rPr>
          <w:rFonts w:ascii="Arial" w:hAnsi="Arial" w:cs="Arial"/>
          <w:szCs w:val="22"/>
        </w:rPr>
      </w:pPr>
    </w:p>
    <w:p w:rsidR="004532AF" w:rsidRDefault="007E65A4" w:rsidP="003F15ED">
      <w:pPr>
        <w:spacing w:line="240" w:lineRule="auto"/>
        <w:jc w:val="both"/>
        <w:rPr>
          <w:rFonts w:ascii="Arial" w:hAnsi="Arial" w:cs="Arial"/>
          <w:szCs w:val="22"/>
        </w:rPr>
      </w:pPr>
      <w:r>
        <w:rPr>
          <w:rFonts w:ascii="Arial" w:hAnsi="Arial" w:cs="Arial"/>
          <w:szCs w:val="22"/>
        </w:rPr>
        <w:t xml:space="preserve">The LGA believes that the code helps local authorities achieve these objectives </w:t>
      </w:r>
    </w:p>
    <w:p w:rsidR="00D54C54" w:rsidRDefault="00D54C54" w:rsidP="003F15ED">
      <w:pPr>
        <w:spacing w:line="240" w:lineRule="auto"/>
        <w:jc w:val="both"/>
        <w:rPr>
          <w:rFonts w:ascii="Arial" w:hAnsi="Arial" w:cs="Arial"/>
          <w:szCs w:val="22"/>
        </w:rPr>
      </w:pPr>
    </w:p>
    <w:p w:rsidR="00D54C54" w:rsidRPr="003D3422" w:rsidRDefault="00D54C54" w:rsidP="00D54C54">
      <w:pPr>
        <w:spacing w:line="240" w:lineRule="auto"/>
        <w:jc w:val="both"/>
        <w:rPr>
          <w:rFonts w:ascii="Arial" w:hAnsi="Arial" w:cs="Arial"/>
          <w:i/>
          <w:szCs w:val="22"/>
        </w:rPr>
      </w:pPr>
      <w:r>
        <w:rPr>
          <w:rFonts w:ascii="Arial" w:hAnsi="Arial" w:cs="Arial"/>
          <w:i/>
          <w:szCs w:val="22"/>
        </w:rPr>
        <w:t>Question 3</w:t>
      </w:r>
      <w:r w:rsidR="0059155F">
        <w:rPr>
          <w:rFonts w:ascii="Arial" w:hAnsi="Arial" w:cs="Arial"/>
          <w:i/>
          <w:szCs w:val="22"/>
        </w:rPr>
        <w:t xml:space="preserve"> </w:t>
      </w:r>
      <w:r w:rsidR="00DE1179">
        <w:rPr>
          <w:rFonts w:ascii="Arial" w:hAnsi="Arial" w:cs="Arial"/>
          <w:i/>
          <w:szCs w:val="22"/>
        </w:rPr>
        <w:t>Do you consider that there are any areas which are not fully covered by these objectives?</w:t>
      </w:r>
    </w:p>
    <w:p w:rsidR="00D54C54" w:rsidRPr="00A02476" w:rsidRDefault="00D54C54" w:rsidP="00D54C54">
      <w:pPr>
        <w:jc w:val="both"/>
        <w:rPr>
          <w:rFonts w:ascii="Arial" w:hAnsi="Arial" w:cs="Arial"/>
          <w:szCs w:val="22"/>
        </w:rPr>
      </w:pPr>
    </w:p>
    <w:p w:rsidR="00D54C54" w:rsidRPr="00A02476" w:rsidRDefault="0059155F" w:rsidP="00D54C54">
      <w:pPr>
        <w:jc w:val="both"/>
        <w:rPr>
          <w:rFonts w:ascii="Arial" w:hAnsi="Arial" w:cs="Arial"/>
          <w:szCs w:val="22"/>
        </w:rPr>
      </w:pPr>
      <w:r>
        <w:rPr>
          <w:rFonts w:ascii="Arial" w:hAnsi="Arial" w:cs="Arial"/>
          <w:szCs w:val="22"/>
        </w:rPr>
        <w:t>No</w:t>
      </w:r>
      <w:r w:rsidR="009E4FF4">
        <w:rPr>
          <w:rFonts w:ascii="Arial" w:hAnsi="Arial" w:cs="Arial"/>
          <w:szCs w:val="22"/>
        </w:rPr>
        <w:t>. The objectives are comprehensive in terms of capital expenditure. The code could perhaps be made more explicit that thes</w:t>
      </w:r>
      <w:bookmarkStart w:id="1" w:name="_GoBack"/>
      <w:bookmarkEnd w:id="1"/>
      <w:r w:rsidR="009E4FF4">
        <w:rPr>
          <w:rFonts w:ascii="Arial" w:hAnsi="Arial" w:cs="Arial"/>
          <w:szCs w:val="22"/>
        </w:rPr>
        <w:t xml:space="preserve">e objectives also cover the Local authority’s commercial and group activities (see answers to other questions) </w:t>
      </w:r>
    </w:p>
    <w:p w:rsidR="00D54C54" w:rsidRPr="003D3422" w:rsidRDefault="00D54C54" w:rsidP="00D54C54">
      <w:pPr>
        <w:jc w:val="both"/>
        <w:rPr>
          <w:rFonts w:ascii="Arial" w:hAnsi="Arial" w:cs="Arial"/>
          <w:szCs w:val="22"/>
        </w:rPr>
      </w:pPr>
    </w:p>
    <w:p w:rsidR="00D54C54" w:rsidRPr="00A02476" w:rsidRDefault="00D54C54" w:rsidP="00D54C54">
      <w:pPr>
        <w:jc w:val="both"/>
        <w:rPr>
          <w:rFonts w:ascii="Arial" w:hAnsi="Arial" w:cs="Arial"/>
          <w:i/>
          <w:szCs w:val="22"/>
        </w:rPr>
      </w:pPr>
      <w:r w:rsidRPr="00A02476">
        <w:rPr>
          <w:rFonts w:ascii="Arial" w:hAnsi="Arial" w:cs="Arial"/>
          <w:i/>
          <w:szCs w:val="22"/>
        </w:rPr>
        <w:t xml:space="preserve">Question </w:t>
      </w:r>
      <w:r w:rsidR="009A474E">
        <w:rPr>
          <w:rFonts w:ascii="Arial" w:hAnsi="Arial" w:cs="Arial"/>
          <w:i/>
          <w:szCs w:val="22"/>
        </w:rPr>
        <w:t>4 Do</w:t>
      </w:r>
      <w:r w:rsidR="00DE1179">
        <w:rPr>
          <w:rFonts w:ascii="Arial" w:hAnsi="Arial" w:cs="Arial"/>
          <w:i/>
          <w:szCs w:val="22"/>
        </w:rPr>
        <w:t xml:space="preserve"> you agree that the scope of the Prudential Code should be extended to cover mayoral combined authorities</w:t>
      </w:r>
      <w:r w:rsidRPr="00A02476">
        <w:rPr>
          <w:rFonts w:ascii="Arial" w:hAnsi="Arial" w:cs="Arial"/>
          <w:i/>
          <w:szCs w:val="22"/>
        </w:rPr>
        <w:t>.</w:t>
      </w:r>
    </w:p>
    <w:p w:rsidR="00D54C54" w:rsidRPr="00A02476" w:rsidRDefault="00D54C54" w:rsidP="00D54C54">
      <w:pPr>
        <w:jc w:val="both"/>
        <w:rPr>
          <w:rFonts w:ascii="Arial" w:hAnsi="Arial" w:cs="Arial"/>
          <w:szCs w:val="22"/>
        </w:rPr>
      </w:pPr>
    </w:p>
    <w:p w:rsidR="00D54C54" w:rsidRPr="003D3422" w:rsidRDefault="009D1692" w:rsidP="00D54C54">
      <w:pPr>
        <w:spacing w:line="240" w:lineRule="auto"/>
        <w:jc w:val="both"/>
        <w:rPr>
          <w:rFonts w:ascii="Arial" w:hAnsi="Arial" w:cs="Arial"/>
          <w:b/>
          <w:szCs w:val="22"/>
          <w:u w:val="single"/>
        </w:rPr>
      </w:pPr>
      <w:r>
        <w:rPr>
          <w:rFonts w:ascii="Arial" w:hAnsi="Arial" w:cs="Arial"/>
          <w:szCs w:val="22"/>
        </w:rPr>
        <w:t xml:space="preserve">The code is helpful </w:t>
      </w:r>
      <w:r w:rsidR="009E4FF4">
        <w:rPr>
          <w:rFonts w:ascii="Arial" w:hAnsi="Arial" w:cs="Arial"/>
          <w:szCs w:val="22"/>
        </w:rPr>
        <w:t xml:space="preserve">in providing a framework for </w:t>
      </w:r>
      <w:r w:rsidR="00A073D4">
        <w:rPr>
          <w:rFonts w:ascii="Arial" w:hAnsi="Arial" w:cs="Arial"/>
          <w:szCs w:val="22"/>
        </w:rPr>
        <w:t>l</w:t>
      </w:r>
      <w:r>
        <w:rPr>
          <w:rFonts w:ascii="Arial" w:hAnsi="Arial" w:cs="Arial"/>
          <w:szCs w:val="22"/>
        </w:rPr>
        <w:t xml:space="preserve">ocal authorities in assessing their </w:t>
      </w:r>
      <w:r w:rsidR="009E4FF4">
        <w:rPr>
          <w:rFonts w:ascii="Arial" w:hAnsi="Arial" w:cs="Arial"/>
          <w:szCs w:val="22"/>
        </w:rPr>
        <w:t xml:space="preserve">capital programmes and affordability.  </w:t>
      </w:r>
      <w:r w:rsidR="0059155F">
        <w:rPr>
          <w:rFonts w:ascii="Arial" w:hAnsi="Arial" w:cs="Arial"/>
          <w:szCs w:val="22"/>
        </w:rPr>
        <w:t xml:space="preserve">When mayoral combined authorities are given borrowing powers </w:t>
      </w:r>
      <w:r w:rsidR="009E4FF4">
        <w:rPr>
          <w:rFonts w:ascii="Arial" w:hAnsi="Arial" w:cs="Arial"/>
          <w:szCs w:val="22"/>
        </w:rPr>
        <w:t xml:space="preserve">they will almost certainly want to undertake an assessment similar to that followed by the prudential code, so </w:t>
      </w:r>
      <w:r w:rsidR="0059155F">
        <w:rPr>
          <w:rFonts w:ascii="Arial" w:hAnsi="Arial" w:cs="Arial"/>
          <w:szCs w:val="22"/>
        </w:rPr>
        <w:t xml:space="preserve">it seems right that </w:t>
      </w:r>
      <w:r w:rsidR="00112657">
        <w:rPr>
          <w:rFonts w:ascii="Arial" w:hAnsi="Arial" w:cs="Arial"/>
          <w:szCs w:val="22"/>
        </w:rPr>
        <w:t xml:space="preserve"> mayoral combined authorities </w:t>
      </w:r>
      <w:r w:rsidR="007E65A4">
        <w:rPr>
          <w:rFonts w:ascii="Arial" w:hAnsi="Arial" w:cs="Arial"/>
          <w:szCs w:val="22"/>
        </w:rPr>
        <w:t xml:space="preserve">should be able to </w:t>
      </w:r>
      <w:r w:rsidR="0059155F">
        <w:rPr>
          <w:rFonts w:ascii="Arial" w:hAnsi="Arial" w:cs="Arial"/>
          <w:szCs w:val="22"/>
        </w:rPr>
        <w:t>follow the Prudential Code like other local authorities</w:t>
      </w:r>
      <w:r w:rsidR="00D54C54" w:rsidRPr="00A02476">
        <w:rPr>
          <w:rFonts w:ascii="Arial" w:hAnsi="Arial" w:cs="Arial"/>
          <w:szCs w:val="22"/>
        </w:rPr>
        <w:t>.</w:t>
      </w:r>
    </w:p>
    <w:p w:rsidR="00D54C54" w:rsidRDefault="00D54C54" w:rsidP="003F15ED">
      <w:pPr>
        <w:spacing w:line="240" w:lineRule="auto"/>
        <w:jc w:val="both"/>
        <w:rPr>
          <w:rFonts w:ascii="Arial" w:hAnsi="Arial" w:cs="Arial"/>
          <w:szCs w:val="22"/>
        </w:rPr>
      </w:pPr>
    </w:p>
    <w:p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sidR="0059155F">
        <w:rPr>
          <w:rFonts w:ascii="Arial" w:hAnsi="Arial" w:cs="Arial"/>
          <w:i/>
          <w:szCs w:val="22"/>
        </w:rPr>
        <w:t xml:space="preserve">5 </w:t>
      </w:r>
      <w:r>
        <w:rPr>
          <w:rFonts w:ascii="Arial" w:hAnsi="Arial" w:cs="Arial"/>
          <w:i/>
          <w:szCs w:val="22"/>
        </w:rPr>
        <w:t xml:space="preserve">Do you foresee any practical implementation issues with extending the scope of the Prudential </w:t>
      </w:r>
      <w:r w:rsidR="009A474E">
        <w:rPr>
          <w:rFonts w:ascii="Arial" w:hAnsi="Arial" w:cs="Arial"/>
          <w:i/>
          <w:szCs w:val="22"/>
        </w:rPr>
        <w:t>C</w:t>
      </w:r>
      <w:r>
        <w:rPr>
          <w:rFonts w:ascii="Arial" w:hAnsi="Arial" w:cs="Arial"/>
          <w:i/>
          <w:szCs w:val="22"/>
        </w:rPr>
        <w:t>ode to cover mayoral combined authorities?</w:t>
      </w:r>
    </w:p>
    <w:p w:rsidR="00DE1179" w:rsidRPr="00A02476" w:rsidRDefault="00DE1179" w:rsidP="00DE1179">
      <w:pPr>
        <w:jc w:val="both"/>
        <w:rPr>
          <w:rFonts w:ascii="Arial" w:hAnsi="Arial" w:cs="Arial"/>
          <w:szCs w:val="22"/>
        </w:rPr>
      </w:pPr>
    </w:p>
    <w:p w:rsidR="00DE1179" w:rsidRDefault="0059155F" w:rsidP="00DE1179">
      <w:pPr>
        <w:spacing w:line="240" w:lineRule="auto"/>
        <w:jc w:val="both"/>
        <w:rPr>
          <w:rFonts w:ascii="Arial" w:hAnsi="Arial" w:cs="Arial"/>
          <w:szCs w:val="22"/>
        </w:rPr>
      </w:pPr>
      <w:r>
        <w:rPr>
          <w:rFonts w:ascii="Arial" w:hAnsi="Arial" w:cs="Arial"/>
          <w:szCs w:val="22"/>
        </w:rPr>
        <w:t>No</w:t>
      </w:r>
      <w:r w:rsidR="009E4FF4">
        <w:rPr>
          <w:rFonts w:ascii="Arial" w:hAnsi="Arial" w:cs="Arial"/>
          <w:szCs w:val="22"/>
        </w:rPr>
        <w:t>. The LGA does not see any issues with this</w:t>
      </w:r>
      <w:r w:rsidR="008047BA">
        <w:rPr>
          <w:rFonts w:ascii="Arial" w:hAnsi="Arial" w:cs="Arial"/>
          <w:szCs w:val="22"/>
        </w:rPr>
        <w:t>.</w:t>
      </w:r>
      <w:r w:rsidR="009E4FF4">
        <w:rPr>
          <w:rFonts w:ascii="Arial" w:hAnsi="Arial" w:cs="Arial"/>
          <w:szCs w:val="22"/>
        </w:rPr>
        <w:t xml:space="preserve"> </w:t>
      </w:r>
    </w:p>
    <w:p w:rsidR="00DE1179" w:rsidRDefault="00DE1179" w:rsidP="00DE1179">
      <w:pPr>
        <w:spacing w:line="240" w:lineRule="auto"/>
        <w:jc w:val="both"/>
        <w:rPr>
          <w:rFonts w:ascii="Arial" w:hAnsi="Arial" w:cs="Arial"/>
          <w:b/>
          <w:szCs w:val="22"/>
          <w:u w:val="single"/>
        </w:rPr>
      </w:pPr>
    </w:p>
    <w:p w:rsidR="00DE1179" w:rsidRPr="00A02476" w:rsidRDefault="00DE1179" w:rsidP="00DE1179">
      <w:pPr>
        <w:spacing w:line="240" w:lineRule="auto"/>
        <w:jc w:val="both"/>
        <w:rPr>
          <w:rFonts w:ascii="Arial" w:hAnsi="Arial" w:cs="Arial"/>
          <w:i/>
          <w:szCs w:val="22"/>
        </w:rPr>
      </w:pPr>
      <w:r w:rsidRPr="00A02476">
        <w:rPr>
          <w:rFonts w:ascii="Arial" w:hAnsi="Arial" w:cs="Arial"/>
          <w:i/>
          <w:szCs w:val="22"/>
        </w:rPr>
        <w:t xml:space="preserve">Question </w:t>
      </w:r>
      <w:r>
        <w:rPr>
          <w:rFonts w:ascii="Arial" w:hAnsi="Arial" w:cs="Arial"/>
          <w:i/>
          <w:szCs w:val="22"/>
        </w:rPr>
        <w:t>6 Do you agree that, in principl</w:t>
      </w:r>
      <w:r w:rsidR="0059155F">
        <w:rPr>
          <w:rFonts w:ascii="Arial" w:hAnsi="Arial" w:cs="Arial"/>
          <w:i/>
          <w:szCs w:val="22"/>
        </w:rPr>
        <w:t>e, the scope of the Prudential C</w:t>
      </w:r>
      <w:r>
        <w:rPr>
          <w:rFonts w:ascii="Arial" w:hAnsi="Arial" w:cs="Arial"/>
          <w:i/>
          <w:szCs w:val="22"/>
        </w:rPr>
        <w:t>ode should be extended to cover group entities to ensure that any associated risks are transparent and managed?</w:t>
      </w:r>
    </w:p>
    <w:p w:rsidR="00DE1179" w:rsidRPr="00A02476" w:rsidRDefault="00DE1179" w:rsidP="00DE1179">
      <w:pPr>
        <w:jc w:val="both"/>
        <w:rPr>
          <w:rFonts w:ascii="Arial" w:hAnsi="Arial" w:cs="Arial"/>
          <w:szCs w:val="22"/>
        </w:rPr>
      </w:pPr>
    </w:p>
    <w:p w:rsidR="00DE1179" w:rsidRPr="003D3422" w:rsidRDefault="0059155F" w:rsidP="00DE1179">
      <w:pPr>
        <w:spacing w:line="240" w:lineRule="auto"/>
        <w:jc w:val="both"/>
        <w:rPr>
          <w:rFonts w:ascii="Arial" w:hAnsi="Arial" w:cs="Arial"/>
          <w:b/>
          <w:szCs w:val="22"/>
          <w:u w:val="single"/>
        </w:rPr>
      </w:pPr>
      <w:r>
        <w:rPr>
          <w:rFonts w:ascii="Arial" w:hAnsi="Arial" w:cs="Arial"/>
          <w:szCs w:val="22"/>
        </w:rPr>
        <w:t>In principle, it makes sense for group entities</w:t>
      </w:r>
      <w:r w:rsidR="009E4FF4">
        <w:rPr>
          <w:rFonts w:ascii="Arial" w:hAnsi="Arial" w:cs="Arial"/>
          <w:szCs w:val="22"/>
        </w:rPr>
        <w:t>’</w:t>
      </w:r>
      <w:r>
        <w:rPr>
          <w:rFonts w:ascii="Arial" w:hAnsi="Arial" w:cs="Arial"/>
          <w:szCs w:val="22"/>
        </w:rPr>
        <w:t xml:space="preserve"> activities</w:t>
      </w:r>
      <w:r w:rsidR="009E4FF4">
        <w:rPr>
          <w:rFonts w:ascii="Arial" w:hAnsi="Arial" w:cs="Arial"/>
          <w:szCs w:val="22"/>
        </w:rPr>
        <w:t>, such as controlled or wholly owned or companies</w:t>
      </w:r>
      <w:r w:rsidR="00112657">
        <w:rPr>
          <w:rFonts w:ascii="Arial" w:hAnsi="Arial" w:cs="Arial"/>
          <w:szCs w:val="22"/>
        </w:rPr>
        <w:t>,</w:t>
      </w:r>
      <w:r>
        <w:rPr>
          <w:rFonts w:ascii="Arial" w:hAnsi="Arial" w:cs="Arial"/>
          <w:szCs w:val="22"/>
        </w:rPr>
        <w:t xml:space="preserve"> to be covered in the assessment </w:t>
      </w:r>
      <w:r w:rsidR="00CA40D5">
        <w:rPr>
          <w:rFonts w:ascii="Arial" w:hAnsi="Arial" w:cs="Arial"/>
          <w:szCs w:val="22"/>
        </w:rPr>
        <w:t>of their parent local authorities</w:t>
      </w:r>
      <w:r w:rsidR="00A073D4">
        <w:rPr>
          <w:rFonts w:ascii="Arial" w:hAnsi="Arial" w:cs="Arial"/>
          <w:szCs w:val="22"/>
        </w:rPr>
        <w:t>, as they will impact on the financial sustainability of the parent local authority</w:t>
      </w:r>
    </w:p>
    <w:p w:rsidR="00D54C54" w:rsidRDefault="00D54C54" w:rsidP="003F15ED">
      <w:pPr>
        <w:spacing w:line="240" w:lineRule="auto"/>
        <w:jc w:val="both"/>
        <w:rPr>
          <w:rFonts w:ascii="Arial" w:hAnsi="Arial" w:cs="Arial"/>
          <w:b/>
          <w:szCs w:val="22"/>
          <w:u w:val="single"/>
        </w:rPr>
      </w:pPr>
    </w:p>
    <w:p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Pr>
          <w:rFonts w:ascii="Arial" w:hAnsi="Arial" w:cs="Arial"/>
          <w:i/>
          <w:szCs w:val="22"/>
        </w:rPr>
        <w:t>7 Which areas of the Prudential Code could best be applied to group entities and do you foresee any practical implementation issues with extending the scope of the Prudential Code to cover group entities?</w:t>
      </w:r>
    </w:p>
    <w:p w:rsidR="00DE1179" w:rsidRPr="00A02476" w:rsidRDefault="00DE1179" w:rsidP="00DE1179">
      <w:pPr>
        <w:jc w:val="both"/>
        <w:rPr>
          <w:rFonts w:ascii="Arial" w:hAnsi="Arial" w:cs="Arial"/>
          <w:szCs w:val="22"/>
        </w:rPr>
      </w:pPr>
    </w:p>
    <w:p w:rsidR="00DE1179" w:rsidRDefault="00DE18E6" w:rsidP="00DE1179">
      <w:pPr>
        <w:spacing w:line="240" w:lineRule="auto"/>
        <w:jc w:val="both"/>
        <w:rPr>
          <w:rFonts w:ascii="Arial" w:hAnsi="Arial" w:cs="Arial"/>
          <w:szCs w:val="22"/>
        </w:rPr>
      </w:pPr>
      <w:r>
        <w:rPr>
          <w:rFonts w:ascii="Arial" w:hAnsi="Arial" w:cs="Arial"/>
          <w:szCs w:val="22"/>
        </w:rPr>
        <w:t xml:space="preserve">We believe the views of specific local authorities affected should </w:t>
      </w:r>
      <w:r w:rsidR="008047BA">
        <w:rPr>
          <w:rFonts w:ascii="Arial" w:hAnsi="Arial" w:cs="Arial"/>
          <w:szCs w:val="22"/>
        </w:rPr>
        <w:t>be sought</w:t>
      </w:r>
      <w:r>
        <w:rPr>
          <w:rFonts w:ascii="Arial" w:hAnsi="Arial" w:cs="Arial"/>
          <w:szCs w:val="22"/>
        </w:rPr>
        <w:t xml:space="preserve"> before a final decision is made.</w:t>
      </w:r>
    </w:p>
    <w:p w:rsidR="00DE1179" w:rsidRDefault="00DE1179" w:rsidP="00DE1179">
      <w:pPr>
        <w:spacing w:line="240" w:lineRule="auto"/>
        <w:jc w:val="both"/>
        <w:rPr>
          <w:rFonts w:ascii="Arial" w:hAnsi="Arial" w:cs="Arial"/>
          <w:b/>
          <w:szCs w:val="22"/>
          <w:u w:val="single"/>
        </w:rPr>
      </w:pPr>
    </w:p>
    <w:p w:rsidR="00A073D4" w:rsidRPr="00A073D4" w:rsidRDefault="00A073D4" w:rsidP="00A073D4">
      <w:pPr>
        <w:spacing w:line="240" w:lineRule="auto"/>
        <w:jc w:val="both"/>
        <w:rPr>
          <w:rFonts w:ascii="Arial" w:hAnsi="Arial" w:cs="Arial"/>
          <w:i/>
          <w:szCs w:val="22"/>
        </w:rPr>
      </w:pPr>
      <w:r w:rsidRPr="00A073D4">
        <w:rPr>
          <w:rFonts w:ascii="Arial" w:hAnsi="Arial" w:cs="Arial"/>
          <w:i/>
          <w:szCs w:val="22"/>
        </w:rPr>
        <w:t>Q8.</w:t>
      </w:r>
      <w:r w:rsidRPr="00A073D4">
        <w:rPr>
          <w:rFonts w:ascii="Arial" w:hAnsi="Arial" w:cs="Arial"/>
          <w:i/>
          <w:szCs w:val="22"/>
        </w:rPr>
        <w:tab/>
        <w:t>Commercialisation</w:t>
      </w:r>
      <w:r>
        <w:rPr>
          <w:rFonts w:ascii="Arial" w:hAnsi="Arial" w:cs="Arial"/>
          <w:i/>
          <w:szCs w:val="22"/>
        </w:rPr>
        <w:t xml:space="preserve">. </w:t>
      </w:r>
      <w:r w:rsidRPr="00A073D4">
        <w:rPr>
          <w:rFonts w:ascii="Arial" w:hAnsi="Arial" w:cs="Arial"/>
          <w:i/>
          <w:szCs w:val="22"/>
        </w:rPr>
        <w:t>How do you suggest the Prudential Code can be strengthened to encompass the risks associated with local authorities</w:t>
      </w:r>
      <w:r w:rsidRPr="00A073D4">
        <w:rPr>
          <w:rFonts w:ascii="Arial" w:hAnsi="Arial" w:cs="Arial" w:hint="eastAsia"/>
          <w:i/>
          <w:szCs w:val="22"/>
        </w:rPr>
        <w:t>’</w:t>
      </w:r>
      <w:r w:rsidRPr="00A073D4">
        <w:rPr>
          <w:rFonts w:ascii="Arial" w:hAnsi="Arial" w:cs="Arial"/>
          <w:i/>
          <w:szCs w:val="22"/>
        </w:rPr>
        <w:t xml:space="preserve"> increasing commercial activities?</w:t>
      </w:r>
    </w:p>
    <w:p w:rsidR="00DE1179" w:rsidRPr="00A02476" w:rsidRDefault="00DE1179" w:rsidP="00DE1179">
      <w:pPr>
        <w:jc w:val="both"/>
        <w:rPr>
          <w:rFonts w:ascii="Arial" w:hAnsi="Arial" w:cs="Arial"/>
          <w:szCs w:val="22"/>
        </w:rPr>
      </w:pPr>
    </w:p>
    <w:p w:rsidR="00DE1179" w:rsidRPr="003D3422" w:rsidRDefault="00CA40D5" w:rsidP="00DE1179">
      <w:pPr>
        <w:spacing w:line="240" w:lineRule="auto"/>
        <w:jc w:val="both"/>
        <w:rPr>
          <w:rFonts w:ascii="Arial" w:hAnsi="Arial" w:cs="Arial"/>
          <w:b/>
          <w:szCs w:val="22"/>
          <w:u w:val="single"/>
        </w:rPr>
      </w:pPr>
      <w:r>
        <w:rPr>
          <w:rFonts w:ascii="Arial" w:hAnsi="Arial" w:cs="Arial"/>
          <w:szCs w:val="22"/>
        </w:rPr>
        <w:t xml:space="preserve">This is an important area. </w:t>
      </w:r>
      <w:r w:rsidR="003B22AE">
        <w:rPr>
          <w:rFonts w:ascii="Arial" w:hAnsi="Arial" w:cs="Arial"/>
          <w:szCs w:val="22"/>
        </w:rPr>
        <w:t>L</w:t>
      </w:r>
      <w:r>
        <w:rPr>
          <w:rFonts w:ascii="Arial" w:hAnsi="Arial" w:cs="Arial"/>
          <w:szCs w:val="22"/>
        </w:rPr>
        <w:t xml:space="preserve">ocal authorities </w:t>
      </w:r>
      <w:r w:rsidR="003B22AE">
        <w:rPr>
          <w:rFonts w:ascii="Arial" w:hAnsi="Arial" w:cs="Arial"/>
          <w:szCs w:val="22"/>
        </w:rPr>
        <w:t>already</w:t>
      </w:r>
      <w:r w:rsidR="008A5FE5">
        <w:rPr>
          <w:rFonts w:ascii="Arial" w:hAnsi="Arial" w:cs="Arial"/>
          <w:szCs w:val="22"/>
        </w:rPr>
        <w:t>, under the current Prudential Code,</w:t>
      </w:r>
      <w:r w:rsidR="003B22AE">
        <w:rPr>
          <w:rFonts w:ascii="Arial" w:hAnsi="Arial" w:cs="Arial"/>
          <w:szCs w:val="22"/>
        </w:rPr>
        <w:t xml:space="preserve"> </w:t>
      </w:r>
      <w:r w:rsidR="009A474E">
        <w:rPr>
          <w:rFonts w:ascii="Arial" w:hAnsi="Arial" w:cs="Arial"/>
          <w:szCs w:val="22"/>
        </w:rPr>
        <w:t>take</w:t>
      </w:r>
      <w:r>
        <w:rPr>
          <w:rFonts w:ascii="Arial" w:hAnsi="Arial" w:cs="Arial"/>
          <w:szCs w:val="22"/>
        </w:rPr>
        <w:t xml:space="preserve"> account of such risks when planning and financing </w:t>
      </w:r>
      <w:r w:rsidR="009A474E">
        <w:rPr>
          <w:rFonts w:ascii="Arial" w:hAnsi="Arial" w:cs="Arial"/>
          <w:szCs w:val="22"/>
        </w:rPr>
        <w:t>their</w:t>
      </w:r>
      <w:r>
        <w:rPr>
          <w:rFonts w:ascii="Arial" w:hAnsi="Arial" w:cs="Arial"/>
          <w:szCs w:val="22"/>
        </w:rPr>
        <w:t xml:space="preserve"> commercial activities.</w:t>
      </w:r>
      <w:r w:rsidR="009A474E">
        <w:rPr>
          <w:rFonts w:ascii="Arial" w:hAnsi="Arial" w:cs="Arial"/>
          <w:szCs w:val="22"/>
        </w:rPr>
        <w:t xml:space="preserve"> </w:t>
      </w:r>
      <w:r>
        <w:rPr>
          <w:rFonts w:ascii="Arial" w:hAnsi="Arial" w:cs="Arial"/>
          <w:szCs w:val="22"/>
        </w:rPr>
        <w:t xml:space="preserve">A possible way of strengthening the code would be </w:t>
      </w:r>
      <w:r w:rsidR="008A5FE5">
        <w:rPr>
          <w:rFonts w:ascii="Arial" w:hAnsi="Arial" w:cs="Arial"/>
          <w:szCs w:val="22"/>
        </w:rPr>
        <w:t xml:space="preserve">to </w:t>
      </w:r>
      <w:r>
        <w:rPr>
          <w:rFonts w:ascii="Arial" w:hAnsi="Arial" w:cs="Arial"/>
          <w:szCs w:val="22"/>
        </w:rPr>
        <w:t xml:space="preserve">make it explicit that it is to cover these </w:t>
      </w:r>
      <w:r w:rsidR="009A474E">
        <w:rPr>
          <w:rFonts w:ascii="Arial" w:hAnsi="Arial" w:cs="Arial"/>
          <w:szCs w:val="22"/>
        </w:rPr>
        <w:t>activities al</w:t>
      </w:r>
      <w:r>
        <w:rPr>
          <w:rFonts w:ascii="Arial" w:hAnsi="Arial" w:cs="Arial"/>
          <w:szCs w:val="22"/>
        </w:rPr>
        <w:t xml:space="preserve">ong with the local authority’s </w:t>
      </w:r>
      <w:r w:rsidR="009A474E">
        <w:rPr>
          <w:rFonts w:ascii="Arial" w:hAnsi="Arial" w:cs="Arial"/>
          <w:szCs w:val="22"/>
        </w:rPr>
        <w:t>other</w:t>
      </w:r>
      <w:r>
        <w:rPr>
          <w:rFonts w:ascii="Arial" w:hAnsi="Arial" w:cs="Arial"/>
          <w:szCs w:val="22"/>
        </w:rPr>
        <w:t xml:space="preserve"> </w:t>
      </w:r>
      <w:r w:rsidR="009A474E">
        <w:rPr>
          <w:rFonts w:ascii="Arial" w:hAnsi="Arial" w:cs="Arial"/>
          <w:szCs w:val="22"/>
        </w:rPr>
        <w:t>activities</w:t>
      </w:r>
      <w:r>
        <w:rPr>
          <w:rFonts w:ascii="Arial" w:hAnsi="Arial" w:cs="Arial"/>
          <w:szCs w:val="22"/>
        </w:rPr>
        <w:t>.</w:t>
      </w:r>
    </w:p>
    <w:p w:rsidR="00DE1179" w:rsidRDefault="00DE1179" w:rsidP="00DE1179">
      <w:pPr>
        <w:spacing w:line="240" w:lineRule="auto"/>
        <w:jc w:val="both"/>
        <w:rPr>
          <w:rFonts w:ascii="Arial" w:hAnsi="Arial" w:cs="Arial"/>
          <w:b/>
          <w:szCs w:val="22"/>
          <w:u w:val="single"/>
        </w:rPr>
      </w:pPr>
    </w:p>
    <w:p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sidR="00C03D08">
        <w:rPr>
          <w:rFonts w:ascii="Arial" w:hAnsi="Arial" w:cs="Arial"/>
          <w:i/>
          <w:szCs w:val="22"/>
        </w:rPr>
        <w:t>9 How do you suggest the strategic planning elements of the Prudential Code can be strengthened to demonstrate that capital investment</w:t>
      </w:r>
      <w:r w:rsidR="00706504">
        <w:rPr>
          <w:rFonts w:ascii="Arial" w:hAnsi="Arial" w:cs="Arial"/>
          <w:i/>
          <w:szCs w:val="22"/>
        </w:rPr>
        <w:t xml:space="preserve"> is sustainable and that risks are appropriately identified?</w:t>
      </w:r>
    </w:p>
    <w:p w:rsidR="00DE1179" w:rsidRPr="00A02476" w:rsidRDefault="00DE1179" w:rsidP="00DE1179">
      <w:pPr>
        <w:jc w:val="both"/>
        <w:rPr>
          <w:rFonts w:ascii="Arial" w:hAnsi="Arial" w:cs="Arial"/>
          <w:szCs w:val="22"/>
        </w:rPr>
      </w:pPr>
    </w:p>
    <w:p w:rsidR="00DE1179" w:rsidRDefault="007E65A4" w:rsidP="00DE1179">
      <w:pPr>
        <w:spacing w:line="240" w:lineRule="auto"/>
        <w:jc w:val="both"/>
        <w:rPr>
          <w:rFonts w:ascii="Arial" w:hAnsi="Arial" w:cs="Arial"/>
          <w:szCs w:val="22"/>
        </w:rPr>
      </w:pPr>
      <w:r>
        <w:rPr>
          <w:rFonts w:ascii="Arial" w:hAnsi="Arial" w:cs="Arial"/>
          <w:szCs w:val="22"/>
        </w:rPr>
        <w:t xml:space="preserve">As stated above, the code is working well at present. </w:t>
      </w:r>
      <w:r w:rsidR="00CA40D5">
        <w:rPr>
          <w:rFonts w:ascii="Arial" w:hAnsi="Arial" w:cs="Arial"/>
          <w:szCs w:val="22"/>
        </w:rPr>
        <w:t xml:space="preserve">The LGA is open to discussion about </w:t>
      </w:r>
      <w:r w:rsidR="009A474E">
        <w:rPr>
          <w:rFonts w:ascii="Arial" w:hAnsi="Arial" w:cs="Arial"/>
          <w:szCs w:val="22"/>
        </w:rPr>
        <w:t>possible</w:t>
      </w:r>
      <w:r w:rsidR="00CA40D5">
        <w:rPr>
          <w:rFonts w:ascii="Arial" w:hAnsi="Arial" w:cs="Arial"/>
          <w:szCs w:val="22"/>
        </w:rPr>
        <w:t xml:space="preserve"> changes but consideration needs to be </w:t>
      </w:r>
      <w:r w:rsidR="009A474E">
        <w:rPr>
          <w:rFonts w:ascii="Arial" w:hAnsi="Arial" w:cs="Arial"/>
          <w:szCs w:val="22"/>
        </w:rPr>
        <w:t>given</w:t>
      </w:r>
      <w:r w:rsidR="00CA40D5">
        <w:rPr>
          <w:rFonts w:ascii="Arial" w:hAnsi="Arial" w:cs="Arial"/>
          <w:szCs w:val="22"/>
        </w:rPr>
        <w:t xml:space="preserve"> to any inc</w:t>
      </w:r>
      <w:r w:rsidR="009A474E">
        <w:rPr>
          <w:rFonts w:ascii="Arial" w:hAnsi="Arial" w:cs="Arial"/>
          <w:szCs w:val="22"/>
        </w:rPr>
        <w:t>reased burden from (for example)</w:t>
      </w:r>
      <w:r w:rsidR="00CA40D5">
        <w:rPr>
          <w:rFonts w:ascii="Arial" w:hAnsi="Arial" w:cs="Arial"/>
          <w:szCs w:val="22"/>
        </w:rPr>
        <w:t xml:space="preserve"> having to carry out more frequent asses</w:t>
      </w:r>
      <w:r w:rsidR="009A474E">
        <w:rPr>
          <w:rFonts w:ascii="Arial" w:hAnsi="Arial" w:cs="Arial"/>
          <w:szCs w:val="22"/>
        </w:rPr>
        <w:t xml:space="preserve">sments of prudential indicators </w:t>
      </w:r>
      <w:r w:rsidR="00CA40D5">
        <w:rPr>
          <w:rFonts w:ascii="Arial" w:hAnsi="Arial" w:cs="Arial"/>
          <w:szCs w:val="22"/>
        </w:rPr>
        <w:t>(although many local authorities may already do this).</w:t>
      </w:r>
    </w:p>
    <w:p w:rsidR="00DE1179" w:rsidRDefault="00DE1179" w:rsidP="00DE1179">
      <w:pPr>
        <w:spacing w:line="240" w:lineRule="auto"/>
        <w:jc w:val="both"/>
        <w:rPr>
          <w:rFonts w:ascii="Arial" w:hAnsi="Arial" w:cs="Arial"/>
          <w:b/>
          <w:szCs w:val="22"/>
          <w:u w:val="single"/>
        </w:rPr>
      </w:pPr>
    </w:p>
    <w:p w:rsidR="00DE1179" w:rsidRPr="00A02476" w:rsidRDefault="00DE1179" w:rsidP="00DE1179">
      <w:pPr>
        <w:spacing w:line="240" w:lineRule="auto"/>
        <w:jc w:val="both"/>
        <w:rPr>
          <w:rFonts w:ascii="Arial" w:hAnsi="Arial" w:cs="Arial"/>
          <w:i/>
          <w:szCs w:val="22"/>
        </w:rPr>
      </w:pPr>
      <w:r w:rsidRPr="00A02476">
        <w:rPr>
          <w:rFonts w:ascii="Arial" w:hAnsi="Arial" w:cs="Arial"/>
          <w:i/>
          <w:szCs w:val="22"/>
        </w:rPr>
        <w:t xml:space="preserve">Question </w:t>
      </w:r>
      <w:r w:rsidR="00706504">
        <w:rPr>
          <w:rFonts w:ascii="Arial" w:hAnsi="Arial" w:cs="Arial"/>
          <w:i/>
          <w:szCs w:val="22"/>
        </w:rPr>
        <w:t>10 Please detail any suggestions for how the prudential indicators could be improved in order that the assurance they provide is enhanced, including details of any indicators which you consider no longer fully serve their intended purpose. Please explain your reasoning.</w:t>
      </w:r>
    </w:p>
    <w:p w:rsidR="00DE1179" w:rsidRPr="00A02476" w:rsidRDefault="00DE1179" w:rsidP="00DE1179">
      <w:pPr>
        <w:jc w:val="both"/>
        <w:rPr>
          <w:rFonts w:ascii="Arial" w:hAnsi="Arial" w:cs="Arial"/>
          <w:szCs w:val="22"/>
        </w:rPr>
      </w:pPr>
    </w:p>
    <w:p w:rsidR="00DE1179" w:rsidRPr="003D3422" w:rsidRDefault="00D8671E" w:rsidP="00DE1179">
      <w:pPr>
        <w:spacing w:line="240" w:lineRule="auto"/>
        <w:jc w:val="both"/>
        <w:rPr>
          <w:rFonts w:ascii="Arial" w:hAnsi="Arial" w:cs="Arial"/>
          <w:b/>
          <w:szCs w:val="22"/>
          <w:u w:val="single"/>
        </w:rPr>
      </w:pPr>
      <w:r>
        <w:rPr>
          <w:rFonts w:ascii="Arial" w:hAnsi="Arial" w:cs="Arial"/>
          <w:szCs w:val="22"/>
        </w:rPr>
        <w:t>W</w:t>
      </w:r>
      <w:r w:rsidR="00854E3F">
        <w:rPr>
          <w:rFonts w:ascii="Arial" w:hAnsi="Arial" w:cs="Arial"/>
          <w:szCs w:val="22"/>
        </w:rPr>
        <w:t>e do not have any suggestions from improvements as we believe t</w:t>
      </w:r>
      <w:r w:rsidR="00605EDC">
        <w:rPr>
          <w:rFonts w:ascii="Arial" w:hAnsi="Arial" w:cs="Arial"/>
          <w:szCs w:val="22"/>
        </w:rPr>
        <w:t xml:space="preserve">he </w:t>
      </w:r>
      <w:r w:rsidR="00854E3F">
        <w:rPr>
          <w:rFonts w:ascii="Arial" w:hAnsi="Arial" w:cs="Arial"/>
          <w:szCs w:val="22"/>
        </w:rPr>
        <w:t>c</w:t>
      </w:r>
      <w:r w:rsidR="00605EDC">
        <w:rPr>
          <w:rFonts w:ascii="Arial" w:hAnsi="Arial" w:cs="Arial"/>
          <w:szCs w:val="22"/>
        </w:rPr>
        <w:t>urrent indicators have worked well.</w:t>
      </w:r>
    </w:p>
    <w:p w:rsidR="00DE1179" w:rsidRPr="003D3422" w:rsidRDefault="00DE1179" w:rsidP="00DE1179">
      <w:pPr>
        <w:spacing w:line="240" w:lineRule="auto"/>
        <w:jc w:val="both"/>
        <w:rPr>
          <w:rFonts w:ascii="Arial" w:hAnsi="Arial" w:cs="Arial"/>
          <w:b/>
          <w:szCs w:val="22"/>
          <w:u w:val="single"/>
        </w:rPr>
      </w:pPr>
    </w:p>
    <w:p w:rsidR="00DE1179" w:rsidRDefault="00DE1179" w:rsidP="00DE1179">
      <w:pPr>
        <w:spacing w:line="240" w:lineRule="auto"/>
        <w:jc w:val="both"/>
        <w:rPr>
          <w:rFonts w:ascii="Arial" w:hAnsi="Arial" w:cs="Arial"/>
          <w:b/>
          <w:szCs w:val="22"/>
          <w:u w:val="single"/>
        </w:rPr>
      </w:pPr>
    </w:p>
    <w:p w:rsidR="00DE1179" w:rsidRPr="00A02476" w:rsidRDefault="00706504" w:rsidP="00DE1179">
      <w:pPr>
        <w:jc w:val="both"/>
        <w:rPr>
          <w:rFonts w:ascii="Arial" w:hAnsi="Arial" w:cs="Arial"/>
          <w:i/>
          <w:szCs w:val="22"/>
        </w:rPr>
      </w:pPr>
      <w:r>
        <w:rPr>
          <w:rFonts w:ascii="Arial" w:hAnsi="Arial" w:cs="Arial"/>
          <w:i/>
          <w:szCs w:val="22"/>
        </w:rPr>
        <w:t>Question11 If you use local indicators, please provide the calculation and how you use the indicators(s)</w:t>
      </w:r>
      <w:r w:rsidR="009A474E">
        <w:rPr>
          <w:rFonts w:ascii="Arial" w:hAnsi="Arial" w:cs="Arial"/>
          <w:i/>
          <w:szCs w:val="22"/>
        </w:rPr>
        <w:t>.</w:t>
      </w:r>
    </w:p>
    <w:p w:rsidR="00DE1179" w:rsidRPr="00A02476" w:rsidRDefault="00DE1179" w:rsidP="00DE1179">
      <w:pPr>
        <w:jc w:val="both"/>
        <w:rPr>
          <w:rFonts w:ascii="Arial" w:hAnsi="Arial" w:cs="Arial"/>
          <w:szCs w:val="22"/>
        </w:rPr>
      </w:pPr>
    </w:p>
    <w:p w:rsidR="00DE1179" w:rsidRDefault="00BE6677" w:rsidP="00DE1179">
      <w:pPr>
        <w:spacing w:line="240" w:lineRule="auto"/>
        <w:jc w:val="both"/>
        <w:rPr>
          <w:rFonts w:ascii="Arial" w:hAnsi="Arial" w:cs="Arial"/>
          <w:szCs w:val="22"/>
        </w:rPr>
      </w:pPr>
      <w:r>
        <w:rPr>
          <w:rFonts w:ascii="Arial" w:hAnsi="Arial" w:cs="Arial"/>
          <w:szCs w:val="22"/>
        </w:rPr>
        <w:t>This question is not relevant to the LGA and we would refer you to the responses of individual local authorities.</w:t>
      </w:r>
    </w:p>
    <w:p w:rsidR="00DE1179" w:rsidRDefault="00DE1179" w:rsidP="00DE1179">
      <w:pPr>
        <w:spacing w:line="240" w:lineRule="auto"/>
        <w:jc w:val="both"/>
        <w:rPr>
          <w:rFonts w:ascii="Arial" w:hAnsi="Arial" w:cs="Arial"/>
          <w:b/>
          <w:szCs w:val="22"/>
          <w:u w:val="single"/>
        </w:rPr>
      </w:pPr>
    </w:p>
    <w:p w:rsidR="00DE1179" w:rsidRPr="00A02476" w:rsidRDefault="00DE1179" w:rsidP="00DE1179">
      <w:pPr>
        <w:spacing w:line="240" w:lineRule="auto"/>
        <w:jc w:val="both"/>
        <w:rPr>
          <w:rFonts w:ascii="Arial" w:hAnsi="Arial" w:cs="Arial"/>
          <w:i/>
          <w:szCs w:val="22"/>
        </w:rPr>
      </w:pPr>
      <w:r w:rsidRPr="00A02476">
        <w:rPr>
          <w:rFonts w:ascii="Arial" w:hAnsi="Arial" w:cs="Arial"/>
          <w:i/>
          <w:szCs w:val="22"/>
        </w:rPr>
        <w:t xml:space="preserve">Question </w:t>
      </w:r>
      <w:r w:rsidR="00706504">
        <w:rPr>
          <w:rFonts w:ascii="Arial" w:hAnsi="Arial" w:cs="Arial"/>
          <w:i/>
          <w:szCs w:val="22"/>
        </w:rPr>
        <w:t>12 How do you suggest that the Prudential Code can be strengthened to incorporate the concept of the liability benchmark</w:t>
      </w:r>
    </w:p>
    <w:p w:rsidR="00DE1179" w:rsidRPr="00A02476" w:rsidRDefault="00DE1179" w:rsidP="00DE1179">
      <w:pPr>
        <w:jc w:val="both"/>
        <w:rPr>
          <w:rFonts w:ascii="Arial" w:hAnsi="Arial" w:cs="Arial"/>
          <w:szCs w:val="22"/>
        </w:rPr>
      </w:pPr>
    </w:p>
    <w:p w:rsidR="00DE1179" w:rsidRPr="003D3422" w:rsidRDefault="007E65A4" w:rsidP="00DE1179">
      <w:pPr>
        <w:spacing w:line="240" w:lineRule="auto"/>
        <w:jc w:val="both"/>
        <w:rPr>
          <w:rFonts w:ascii="Arial" w:hAnsi="Arial" w:cs="Arial"/>
          <w:b/>
          <w:szCs w:val="22"/>
          <w:u w:val="single"/>
        </w:rPr>
      </w:pPr>
      <w:r>
        <w:rPr>
          <w:rFonts w:ascii="Arial" w:hAnsi="Arial" w:cs="Arial"/>
          <w:szCs w:val="22"/>
        </w:rPr>
        <w:t xml:space="preserve"> The LGA does not have a view on how this could be inserted into the code.</w:t>
      </w:r>
    </w:p>
    <w:p w:rsidR="00DE1179" w:rsidRDefault="00DE1179" w:rsidP="00DE1179">
      <w:pPr>
        <w:spacing w:line="240" w:lineRule="auto"/>
        <w:jc w:val="both"/>
        <w:rPr>
          <w:rFonts w:ascii="Arial" w:hAnsi="Arial" w:cs="Arial"/>
          <w:b/>
          <w:szCs w:val="22"/>
          <w:u w:val="single"/>
        </w:rPr>
      </w:pPr>
    </w:p>
    <w:p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sidR="00706504">
        <w:rPr>
          <w:rFonts w:ascii="Arial" w:hAnsi="Arial" w:cs="Arial"/>
          <w:i/>
          <w:szCs w:val="22"/>
        </w:rPr>
        <w:t>13. Do you c</w:t>
      </w:r>
      <w:r w:rsidR="00C05681">
        <w:rPr>
          <w:rFonts w:ascii="Arial" w:hAnsi="Arial" w:cs="Arial"/>
          <w:i/>
          <w:szCs w:val="22"/>
        </w:rPr>
        <w:t>onsider that the balance of indi</w:t>
      </w:r>
      <w:r w:rsidR="00706504">
        <w:rPr>
          <w:rFonts w:ascii="Arial" w:hAnsi="Arial" w:cs="Arial"/>
          <w:i/>
          <w:szCs w:val="22"/>
        </w:rPr>
        <w:t>cators between the Prudential Code and Treasury Managemen</w:t>
      </w:r>
      <w:r w:rsidR="00C05681">
        <w:rPr>
          <w:rFonts w:ascii="Arial" w:hAnsi="Arial" w:cs="Arial"/>
          <w:i/>
          <w:szCs w:val="22"/>
        </w:rPr>
        <w:t>t in the Public Services: Guidan</w:t>
      </w:r>
      <w:r w:rsidR="00706504">
        <w:rPr>
          <w:rFonts w:ascii="Arial" w:hAnsi="Arial" w:cs="Arial"/>
          <w:i/>
          <w:szCs w:val="22"/>
        </w:rPr>
        <w:t>ce Notes for local Authorities is correct</w:t>
      </w:r>
      <w:r w:rsidR="009A474E">
        <w:rPr>
          <w:rFonts w:ascii="Arial" w:hAnsi="Arial" w:cs="Arial"/>
          <w:i/>
          <w:szCs w:val="22"/>
        </w:rPr>
        <w:t>?</w:t>
      </w:r>
    </w:p>
    <w:p w:rsidR="00DE1179" w:rsidRPr="00A02476" w:rsidRDefault="00DE1179" w:rsidP="00DE1179">
      <w:pPr>
        <w:jc w:val="both"/>
        <w:rPr>
          <w:rFonts w:ascii="Arial" w:hAnsi="Arial" w:cs="Arial"/>
          <w:szCs w:val="22"/>
        </w:rPr>
      </w:pPr>
    </w:p>
    <w:p w:rsidR="00DE1179" w:rsidRPr="00C05681" w:rsidRDefault="00D8671E" w:rsidP="00DE1179">
      <w:pPr>
        <w:spacing w:line="240" w:lineRule="auto"/>
        <w:jc w:val="both"/>
        <w:rPr>
          <w:rFonts w:ascii="Arial" w:hAnsi="Arial" w:cs="Arial"/>
          <w:szCs w:val="22"/>
        </w:rPr>
      </w:pPr>
      <w:r>
        <w:rPr>
          <w:rFonts w:ascii="Arial" w:hAnsi="Arial" w:cs="Arial"/>
          <w:szCs w:val="22"/>
        </w:rPr>
        <w:t>T</w:t>
      </w:r>
      <w:r w:rsidR="00854E3F">
        <w:rPr>
          <w:rFonts w:ascii="Arial" w:hAnsi="Arial" w:cs="Arial"/>
          <w:szCs w:val="22"/>
        </w:rPr>
        <w:t>he LGA believes the balance is right and that t</w:t>
      </w:r>
      <w:r w:rsidR="00605EDC">
        <w:rPr>
          <w:rFonts w:ascii="Arial" w:hAnsi="Arial" w:cs="Arial"/>
          <w:szCs w:val="22"/>
        </w:rPr>
        <w:t>he current indicators have worked well.</w:t>
      </w:r>
    </w:p>
    <w:p w:rsidR="00DE1179" w:rsidRDefault="00DE1179" w:rsidP="003F15ED">
      <w:pPr>
        <w:spacing w:line="240" w:lineRule="auto"/>
        <w:jc w:val="both"/>
        <w:rPr>
          <w:rFonts w:ascii="Arial" w:hAnsi="Arial" w:cs="Arial"/>
          <w:b/>
          <w:szCs w:val="22"/>
          <w:u w:val="single"/>
        </w:rPr>
      </w:pPr>
    </w:p>
    <w:p w:rsidR="00C05681" w:rsidRDefault="00C05681" w:rsidP="00C05681">
      <w:pPr>
        <w:spacing w:line="240" w:lineRule="auto"/>
        <w:jc w:val="both"/>
        <w:rPr>
          <w:rFonts w:ascii="Arial" w:hAnsi="Arial" w:cs="Arial"/>
          <w:b/>
          <w:szCs w:val="22"/>
        </w:rPr>
      </w:pPr>
    </w:p>
    <w:p w:rsidR="00C05681" w:rsidRDefault="00C05681" w:rsidP="00C05681">
      <w:pPr>
        <w:spacing w:line="240" w:lineRule="auto"/>
        <w:jc w:val="both"/>
        <w:rPr>
          <w:rFonts w:ascii="Arial" w:hAnsi="Arial" w:cs="Arial"/>
          <w:b/>
          <w:szCs w:val="22"/>
        </w:rPr>
      </w:pPr>
      <w:r>
        <w:rPr>
          <w:rFonts w:ascii="Arial" w:hAnsi="Arial" w:cs="Arial"/>
          <w:b/>
          <w:szCs w:val="22"/>
        </w:rPr>
        <w:t>Treasury Management code</w:t>
      </w:r>
    </w:p>
    <w:p w:rsidR="00C05681" w:rsidRPr="003D3422" w:rsidRDefault="00C05681" w:rsidP="00C05681">
      <w:pPr>
        <w:spacing w:line="240" w:lineRule="auto"/>
        <w:jc w:val="both"/>
        <w:rPr>
          <w:rFonts w:ascii="Arial" w:hAnsi="Arial" w:cs="Arial"/>
          <w:b/>
          <w:szCs w:val="22"/>
        </w:rPr>
      </w:pPr>
    </w:p>
    <w:p w:rsidR="00C05681" w:rsidRPr="003D3422" w:rsidRDefault="00C05681" w:rsidP="00C05681">
      <w:pPr>
        <w:spacing w:line="240" w:lineRule="auto"/>
        <w:jc w:val="both"/>
        <w:rPr>
          <w:rFonts w:ascii="Arial" w:hAnsi="Arial" w:cs="Arial"/>
          <w:b/>
          <w:szCs w:val="22"/>
          <w:u w:val="single"/>
        </w:rPr>
      </w:pPr>
      <w:r w:rsidRPr="00CA40D5">
        <w:rPr>
          <w:rFonts w:ascii="Arial" w:hAnsi="Arial" w:cs="Arial"/>
          <w:szCs w:val="22"/>
        </w:rPr>
        <w:t>The specific questions in the consultation are all aimed at public service organisations and how they use the code. As an umbrella organ</w:t>
      </w:r>
      <w:r w:rsidR="00286BC7" w:rsidRPr="00CA40D5">
        <w:rPr>
          <w:rFonts w:ascii="Arial" w:hAnsi="Arial" w:cs="Arial"/>
          <w:szCs w:val="22"/>
        </w:rPr>
        <w:t>isa</w:t>
      </w:r>
      <w:r w:rsidRPr="00CA40D5">
        <w:rPr>
          <w:rFonts w:ascii="Arial" w:hAnsi="Arial" w:cs="Arial"/>
          <w:szCs w:val="22"/>
        </w:rPr>
        <w:t xml:space="preserve">tion, these questions </w:t>
      </w:r>
      <w:r w:rsidR="00286BC7" w:rsidRPr="00CA40D5">
        <w:rPr>
          <w:rFonts w:ascii="Arial" w:hAnsi="Arial" w:cs="Arial"/>
          <w:szCs w:val="22"/>
        </w:rPr>
        <w:t xml:space="preserve">are </w:t>
      </w:r>
      <w:r w:rsidR="00CA40D5">
        <w:rPr>
          <w:rFonts w:ascii="Arial" w:hAnsi="Arial" w:cs="Arial"/>
          <w:szCs w:val="22"/>
        </w:rPr>
        <w:t xml:space="preserve">not </w:t>
      </w:r>
      <w:r w:rsidR="00286BC7" w:rsidRPr="00CA40D5">
        <w:rPr>
          <w:rFonts w:ascii="Arial" w:hAnsi="Arial" w:cs="Arial"/>
          <w:szCs w:val="22"/>
        </w:rPr>
        <w:t>di</w:t>
      </w:r>
      <w:r w:rsidRPr="00CA40D5">
        <w:rPr>
          <w:rFonts w:ascii="Arial" w:hAnsi="Arial" w:cs="Arial"/>
          <w:szCs w:val="22"/>
        </w:rPr>
        <w:t xml:space="preserve">rectly applicable to the LGA. </w:t>
      </w:r>
      <w:r w:rsidR="007E65A4">
        <w:rPr>
          <w:rFonts w:ascii="Arial" w:hAnsi="Arial" w:cs="Arial"/>
          <w:szCs w:val="22"/>
        </w:rPr>
        <w:t>The LGA belie</w:t>
      </w:r>
      <w:r w:rsidR="00D8671E">
        <w:rPr>
          <w:rFonts w:ascii="Arial" w:hAnsi="Arial" w:cs="Arial"/>
          <w:szCs w:val="22"/>
        </w:rPr>
        <w:t xml:space="preserve">ves that </w:t>
      </w:r>
      <w:r w:rsidR="00CA40D5">
        <w:rPr>
          <w:rFonts w:ascii="Arial" w:hAnsi="Arial" w:cs="Arial"/>
          <w:szCs w:val="22"/>
        </w:rPr>
        <w:t xml:space="preserve">the Treasury Management Code has worked well </w:t>
      </w:r>
      <w:r w:rsidR="00535385">
        <w:rPr>
          <w:rFonts w:ascii="Arial" w:hAnsi="Arial" w:cs="Arial"/>
          <w:szCs w:val="22"/>
        </w:rPr>
        <w:t>in</w:t>
      </w:r>
      <w:r w:rsidR="00CA40D5">
        <w:rPr>
          <w:rFonts w:ascii="Arial" w:hAnsi="Arial" w:cs="Arial"/>
          <w:szCs w:val="22"/>
        </w:rPr>
        <w:t xml:space="preserve"> providing a consistent governance framework for Treasury Management activities of local authorities and that therefore any changes to it should not alter this.</w:t>
      </w:r>
    </w:p>
    <w:sectPr w:rsidR="00C05681" w:rsidRPr="003D3422">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F2D" w:rsidRDefault="00920F2D">
      <w:r>
        <w:separator/>
      </w:r>
    </w:p>
  </w:endnote>
  <w:endnote w:type="continuationSeparator" w:id="0">
    <w:p w:rsidR="00920F2D" w:rsidRDefault="0092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903CDE6-6C84-49C7-8DD0-813A603C4FCF}"/>
    <w:embedBold r:id="rId2" w:fontKey="{32E6B067-AC3D-4D44-A4FD-9D55E44D019C}"/>
  </w:font>
  <w:font w:name="Frutiger 45 Light">
    <w:altName w:val="Times New Roman"/>
    <w:charset w:val="00"/>
    <w:family w:val="auto"/>
    <w:pitch w:val="default"/>
  </w:font>
  <w:font w:name="Frutiger 55 Roman">
    <w:altName w:val="Segoe UI"/>
    <w:charset w:val="00"/>
    <w:family w:val="swiss"/>
    <w:pitch w:val="variable"/>
    <w:sig w:usb0="00000003" w:usb1="00000000" w:usb2="00000000" w:usb3="00000000" w:csb0="00000001" w:csb1="00000000"/>
  </w:font>
  <w:font w:name="LGA Logos">
    <w:altName w:val="Courier New"/>
    <w:charset w:val="00"/>
    <w:family w:val="auto"/>
    <w:pitch w:val="variable"/>
    <w:sig w:usb0="00000003" w:usb1="00000000" w:usb2="00000000" w:usb3="00000000" w:csb0="00000001" w:csb1="00000000"/>
    <w:embedRegular r:id="rId3" w:fontKey="{B0091918-37B2-496F-BD2D-D446297D96D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86BFD33-C81F-4CF9-BB14-5F95FEAED9D1}"/>
  </w:font>
  <w:font w:name="Verdana">
    <w:panose1 w:val="020B0604030504040204"/>
    <w:charset w:val="00"/>
    <w:family w:val="swiss"/>
    <w:pitch w:val="variable"/>
    <w:sig w:usb0="A10006FF" w:usb1="4000205B" w:usb2="00000010" w:usb3="00000000" w:csb0="0000019F" w:csb1="00000000"/>
    <w:embedRegular r:id="rId5" w:fontKey="{023270BB-B11F-4742-84B3-AB4342E2A149}"/>
  </w:font>
  <w:font w:name="Calibri Light">
    <w:panose1 w:val="020F0302020204030204"/>
    <w:charset w:val="00"/>
    <w:family w:val="swiss"/>
    <w:pitch w:val="variable"/>
    <w:sig w:usb0="A00002EF" w:usb1="4000207B" w:usb2="00000000" w:usb3="00000000" w:csb0="0000019F" w:csb1="00000000"/>
    <w:embedRegular r:id="rId6" w:fontKey="{3B847DF3-6787-4257-8540-7BDC36E0E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CE9" w:rsidRPr="004846D7" w:rsidRDefault="004D0CE9">
    <w:pPr>
      <w:pStyle w:val="Footer"/>
      <w:jc w:val="center"/>
      <w:rPr>
        <w:rFonts w:ascii="Arial" w:hAnsi="Arial" w:cs="Arial"/>
        <w:sz w:val="16"/>
        <w:szCs w:val="16"/>
      </w:rPr>
    </w:pPr>
  </w:p>
  <w:p w:rsidR="004D0CE9" w:rsidRPr="004D36CF" w:rsidRDefault="004D0CE9">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F2D" w:rsidRDefault="00920F2D">
      <w:r>
        <w:separator/>
      </w:r>
    </w:p>
  </w:footnote>
  <w:footnote w:type="continuationSeparator" w:id="0">
    <w:p w:rsidR="00920F2D" w:rsidRDefault="00920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4D0CE9">
      <w:trPr>
        <w:cantSplit/>
        <w:trHeight w:hRule="exact" w:val="5273"/>
      </w:trPr>
      <w:tc>
        <w:tcPr>
          <w:tcW w:w="993" w:type="dxa"/>
          <w:textDirection w:val="btLr"/>
          <w:vAlign w:val="bottom"/>
        </w:tcPr>
        <w:p w:rsidR="004D0CE9" w:rsidRPr="00C9479A" w:rsidRDefault="004D0CE9" w:rsidP="00C9479A">
          <w:pPr>
            <w:pStyle w:val="Heading1"/>
            <w:framePr w:w="992" w:h="10943" w:hRule="exact" w:wrap="around" w:x="10199" w:y="5041"/>
            <w:jc w:val="center"/>
            <w:rPr>
              <w:rFonts w:ascii="Arial" w:hAnsi="Arial" w:cs="Arial"/>
              <w:b/>
            </w:rPr>
          </w:pPr>
          <w:r>
            <w:rPr>
              <w:noProof/>
              <w:lang w:eastAsia="en-GB"/>
            </w:rPr>
            <mc:AlternateContent>
              <mc:Choice Requires="wps">
                <w:drawing>
                  <wp:anchor distT="4294967295" distB="4294967295" distL="114300" distR="114300" simplePos="0" relativeHeight="251657216" behindDoc="0" locked="0" layoutInCell="0" allowOverlap="1" wp14:anchorId="41B081EE" wp14:editId="657DD936">
                    <wp:simplePos x="0" y="0"/>
                    <wp:positionH relativeFrom="page">
                      <wp:posOffset>6480810</wp:posOffset>
                    </wp:positionH>
                    <wp:positionV relativeFrom="page">
                      <wp:posOffset>3197859</wp:posOffset>
                    </wp:positionV>
                    <wp:extent cx="539750" cy="0"/>
                    <wp:effectExtent l="0" t="0" r="317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35D6"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D0CE9">
      <w:trPr>
        <w:cantSplit/>
        <w:trHeight w:hRule="exact" w:val="5670"/>
      </w:trPr>
      <w:tc>
        <w:tcPr>
          <w:tcW w:w="993" w:type="dxa"/>
          <w:textDirection w:val="btLr"/>
          <w:vAlign w:val="bottom"/>
        </w:tcPr>
        <w:p w:rsidR="004D0CE9" w:rsidRPr="00481EF1" w:rsidRDefault="004D0CE9">
          <w:pPr>
            <w:pStyle w:val="Address"/>
            <w:framePr w:w="992" w:h="10943" w:hRule="exact" w:wrap="around" w:vAnchor="page" w:hAnchor="page" w:x="10199" w:y="5041"/>
            <w:rPr>
              <w:rFonts w:ascii="Arial" w:hAnsi="Arial" w:cs="Arial"/>
              <w:sz w:val="16"/>
              <w:szCs w:val="16"/>
            </w:rPr>
          </w:pPr>
          <w:r w:rsidRPr="00481EF1">
            <w:rPr>
              <w:noProof/>
              <w:sz w:val="16"/>
              <w:szCs w:val="16"/>
              <w:lang w:eastAsia="en-GB"/>
            </w:rPr>
            <mc:AlternateContent>
              <mc:Choice Requires="wps">
                <w:drawing>
                  <wp:anchor distT="4294967295" distB="4294967295" distL="114300" distR="114300" simplePos="0" relativeHeight="251658240" behindDoc="0" locked="0" layoutInCell="0" allowOverlap="1" wp14:anchorId="2B756666" wp14:editId="2B60E421">
                    <wp:simplePos x="0" y="0"/>
                    <wp:positionH relativeFrom="page">
                      <wp:posOffset>6480810</wp:posOffset>
                    </wp:positionH>
                    <wp:positionV relativeFrom="page">
                      <wp:posOffset>6553834</wp:posOffset>
                    </wp:positionV>
                    <wp:extent cx="539750" cy="0"/>
                    <wp:effectExtent l="0" t="0" r="317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4EF93"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481EF1">
            <w:rPr>
              <w:rFonts w:ascii="Arial" w:hAnsi="Arial" w:cs="Arial"/>
              <w:sz w:val="16"/>
              <w:szCs w:val="16"/>
            </w:rPr>
            <w:t>L</w:t>
          </w:r>
          <w:r>
            <w:rPr>
              <w:rFonts w:ascii="Arial" w:hAnsi="Arial" w:cs="Arial"/>
              <w:sz w:val="16"/>
              <w:szCs w:val="16"/>
            </w:rPr>
            <w:t>ayden House</w:t>
          </w:r>
          <w:r w:rsidRPr="00481EF1">
            <w:rPr>
              <w:rFonts w:ascii="Arial" w:hAnsi="Arial" w:cs="Arial"/>
              <w:sz w:val="16"/>
              <w:szCs w:val="16"/>
            </w:rPr>
            <w:t xml:space="preserve">, </w:t>
          </w:r>
          <w:r>
            <w:rPr>
              <w:rFonts w:ascii="Arial" w:hAnsi="Arial" w:cs="Arial"/>
              <w:sz w:val="16"/>
              <w:szCs w:val="16"/>
            </w:rPr>
            <w:t>76-86 Turnmill Street,</w:t>
          </w:r>
          <w:r w:rsidRPr="00481EF1">
            <w:rPr>
              <w:rFonts w:ascii="Arial" w:hAnsi="Arial" w:cs="Arial"/>
              <w:sz w:val="16"/>
              <w:szCs w:val="16"/>
            </w:rPr>
            <w:t xml:space="preserve"> London </w:t>
          </w:r>
          <w:r>
            <w:rPr>
              <w:rFonts w:ascii="Arial" w:hAnsi="Arial" w:cs="Arial"/>
              <w:sz w:val="16"/>
              <w:szCs w:val="16"/>
            </w:rPr>
            <w:t>EC1M 5LG</w:t>
          </w:r>
        </w:p>
        <w:p w:rsidR="004D0CE9" w:rsidRPr="00481EF1" w:rsidRDefault="004D0CE9" w:rsidP="00481EF1">
          <w:pPr>
            <w:framePr w:w="992" w:h="10943" w:hRule="exact" w:wrap="around" w:vAnchor="page" w:hAnchor="page" w:x="10199" w:y="5041"/>
            <w:rPr>
              <w:rFonts w:ascii="Arial" w:hAnsi="Arial" w:cs="Arial"/>
              <w:noProof/>
              <w:sz w:val="16"/>
              <w:szCs w:val="16"/>
              <w:lang w:eastAsia="en-GB"/>
            </w:rPr>
          </w:pPr>
          <w:r w:rsidRPr="00481EF1">
            <w:rPr>
              <w:rFonts w:ascii="Arial" w:hAnsi="Arial" w:cs="Arial"/>
              <w:sz w:val="16"/>
              <w:szCs w:val="16"/>
            </w:rPr>
            <w:t xml:space="preserve">Email: </w:t>
          </w:r>
          <w:hyperlink r:id="rId1" w:history="1">
            <w:r w:rsidRPr="00A43B26">
              <w:rPr>
                <w:rStyle w:val="Hyperlink"/>
                <w:rFonts w:ascii="Arial" w:hAnsi="Arial" w:cs="Arial"/>
                <w:sz w:val="16"/>
                <w:szCs w:val="16"/>
              </w:rPr>
              <w:t>Bevis.ingram@local.gov.uk</w:t>
            </w:r>
          </w:hyperlink>
          <w:r>
            <w:rPr>
              <w:rFonts w:ascii="Arial" w:hAnsi="Arial" w:cs="Arial"/>
              <w:sz w:val="16"/>
              <w:szCs w:val="16"/>
            </w:rPr>
            <w:t xml:space="preserve"> </w:t>
          </w:r>
          <w:r w:rsidRPr="00481EF1">
            <w:rPr>
              <w:rFonts w:ascii="Arial" w:hAnsi="Arial" w:cs="Arial"/>
              <w:sz w:val="16"/>
              <w:szCs w:val="16"/>
            </w:rPr>
            <w:t xml:space="preserve">Tel: </w:t>
          </w:r>
          <w:r w:rsidRPr="003828BB">
            <w:rPr>
              <w:rFonts w:ascii="Arial" w:hAnsi="Arial" w:cs="Arial"/>
              <w:noProof/>
              <w:sz w:val="16"/>
              <w:szCs w:val="16"/>
              <w:lang w:eastAsia="en-GB"/>
            </w:rPr>
            <w:t xml:space="preserve"> </w:t>
          </w:r>
          <w:r w:rsidRPr="00481EF1">
            <w:rPr>
              <w:rFonts w:ascii="Arial" w:hAnsi="Arial" w:cs="Arial"/>
              <w:noProof/>
              <w:sz w:val="16"/>
              <w:szCs w:val="16"/>
              <w:lang w:eastAsia="en-GB"/>
            </w:rPr>
            <w:t>020 7664 32</w:t>
          </w:r>
          <w:r>
            <w:rPr>
              <w:rFonts w:ascii="Arial" w:hAnsi="Arial" w:cs="Arial"/>
              <w:noProof/>
              <w:sz w:val="16"/>
              <w:szCs w:val="16"/>
              <w:lang w:eastAsia="en-GB"/>
            </w:rPr>
            <w:t>58</w:t>
          </w:r>
        </w:p>
        <w:p w:rsidR="004D0CE9" w:rsidRPr="00C416F5" w:rsidRDefault="004D0CE9">
          <w:pPr>
            <w:pStyle w:val="Address"/>
            <w:framePr w:w="992" w:h="10943" w:hRule="exact" w:wrap="around" w:vAnchor="page" w:hAnchor="page" w:x="10199" w:y="5041"/>
            <w:rPr>
              <w:rFonts w:ascii="Arial" w:hAnsi="Arial" w:cs="Arial"/>
            </w:rPr>
          </w:pPr>
        </w:p>
        <w:p w:rsidR="004D0CE9" w:rsidRDefault="004D0CE9" w:rsidP="00481EF1">
          <w:pPr>
            <w:pStyle w:val="Address"/>
            <w:framePr w:w="992" w:h="10943" w:hRule="exact" w:wrap="around" w:vAnchor="page" w:hAnchor="page" w:x="10199" w:y="5041"/>
          </w:pPr>
        </w:p>
      </w:tc>
    </w:tr>
  </w:tbl>
  <w:p w:rsidR="004D0CE9" w:rsidRDefault="00812420">
    <w:pPr>
      <w:pStyle w:val="Header"/>
    </w:pPr>
    <w:r>
      <w:rPr>
        <w:noProof/>
        <w:lang w:eastAsia="en-GB"/>
      </w:rPr>
      <mc:AlternateContent>
        <mc:Choice Requires="wps">
          <w:drawing>
            <wp:anchor distT="45720" distB="45720" distL="114300" distR="114300" simplePos="0" relativeHeight="251660288" behindDoc="0" locked="0" layoutInCell="1" allowOverlap="1">
              <wp:simplePos x="0" y="0"/>
              <wp:positionH relativeFrom="margin">
                <wp:posOffset>4446905</wp:posOffset>
              </wp:positionH>
              <wp:positionV relativeFrom="paragraph">
                <wp:posOffset>168275</wp:posOffset>
              </wp:positionV>
              <wp:extent cx="1485900"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noFill/>
                        <a:miter lim="800000"/>
                        <a:headEnd/>
                        <a:tailEnd/>
                      </a:ln>
                    </wps:spPr>
                    <wps:txbx>
                      <w:txbxContent>
                        <w:p w:rsidR="00812420" w:rsidRPr="00812420" w:rsidRDefault="00812420">
                          <w:pPr>
                            <w:rPr>
                              <w:rFonts w:ascii="Arial" w:hAnsi="Arial" w:cs="Arial"/>
                              <w:b/>
                              <w:sz w:val="28"/>
                              <w:szCs w:val="28"/>
                            </w:rPr>
                          </w:pPr>
                          <w:r w:rsidRPr="00812420">
                            <w:rPr>
                              <w:rFonts w:ascii="Arial" w:hAnsi="Arial" w:cs="Arial"/>
                              <w:b/>
                              <w:sz w:val="28"/>
                              <w:szCs w:val="28"/>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0.15pt;margin-top:13.25pt;width:117pt;height: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ZIgIAACQEAAAOAAAAZHJzL2Uyb0RvYy54bWysU81u2zAMvg/YOwi6L3ayZE2MOEWXLsOA&#10;7gdo9wC0LMfCJNGTlNjd05eS0zTbbsN0EEiR/Eh+pNbXg9HsKJ1XaEs+neScSSuwVnZf8u8PuzdL&#10;znwAW4NGK0v+KD2/3rx+te67Qs6wRV1LxwjE+qLvSt6G0BVZ5kUrDfgJdtKSsUFnIJDq9lntoCd0&#10;o7NZnr/LenR151BI7+n1djTyTcJvGinC16bxMjBdcqotpNulu4p3tllDsXfQtUqcyoB/qMKAspT0&#10;DHULAdjBqb+gjBIOPTZhItBk2DRKyNQDdTPN/+jmvoVOpl6IHN+dafL/D1Z8OX5zTNUln02vOLNg&#10;aEgPcgjsPQ5sFvnpO1+Q231HjmGgZ5pz6tV3dyh+eGZx24LdyxvnsG8l1FTfNEZmF6Ejjo8gVf8Z&#10;a0oDh4AJaGicieQRHYzQaU6P59nEUkRMOV8uVjmZBNnmq8VbkmMKKJ6jO+fDR4mGRaHkjmaf0OF4&#10;58Po+uwSk3nUqt4prZPi9tVWO3YE2pNdOif039y0ZX3JV4vZIiFbjPEEDYVRgfZYK1PyZR5PDIci&#10;svHB1kkOoPQoU9HanuiJjIzchKEa0iQSd5G6CutH4svhuLb0zUho0f3irKeVLbn/eQAnOdOfLHG+&#10;ms7ncceTMl9czUhxl5bq0gJWEFTJA2ejuA3pX8SyLd7QbBqVaHup5FQyrWIi/vRt4q5f6snr5XNv&#10;ngAAAP//AwBQSwMEFAAGAAgAAAAhAE+Q2vXeAAAACgEAAA8AAABkcnMvZG93bnJldi54bWxMj8tO&#10;wzAQRfdI/IM1SGwQtWnzoGmcCpBAbFv6AU4yTaLG4yh2m/TvGVZ0OTNHd87Nt7PtxQVH3znS8LJQ&#10;IJAqV3fUaDj8fD6/gvDBUG16R6jhih62xf1dbrLaTbTDyz40gkPIZ0ZDG8KQSemrFq3xCzcg8e3o&#10;RmsCj2Mj69FMHG57uVQqkdZ0xB9aM+BHi9Vpf7Yajt/TU7yeyq9wSHdR8m66tHRXrR8f5rcNiIBz&#10;+IfhT5/VoWCn0p2p9qLXkCq1YlTDMolBMLBeRbwomVRRDLLI5W2F4hcAAP//AwBQSwECLQAUAAYA&#10;CAAAACEAtoM4kv4AAADhAQAAEwAAAAAAAAAAAAAAAAAAAAAAW0NvbnRlbnRfVHlwZXNdLnhtbFBL&#10;AQItABQABgAIAAAAIQA4/SH/1gAAAJQBAAALAAAAAAAAAAAAAAAAAC8BAABfcmVscy8ucmVsc1BL&#10;AQItABQABgAIAAAAIQB+bM2ZIgIAACQEAAAOAAAAAAAAAAAAAAAAAC4CAABkcnMvZTJvRG9jLnht&#10;bFBLAQItABQABgAIAAAAIQBPkNr13gAAAAoBAAAPAAAAAAAAAAAAAAAAAHwEAABkcnMvZG93bnJl&#10;di54bWxQSwUGAAAAAAQABADzAAAAhwUAAAAA&#10;" stroked="f">
              <v:textbox>
                <w:txbxContent>
                  <w:p w:rsidR="00812420" w:rsidRPr="00812420" w:rsidRDefault="00812420">
                    <w:pPr>
                      <w:rPr>
                        <w:rFonts w:ascii="Arial" w:hAnsi="Arial" w:cs="Arial"/>
                        <w:b/>
                        <w:sz w:val="28"/>
                        <w:szCs w:val="28"/>
                      </w:rPr>
                    </w:pPr>
                    <w:r w:rsidRPr="00812420">
                      <w:rPr>
                        <w:rFonts w:ascii="Arial" w:hAnsi="Arial" w:cs="Arial"/>
                        <w:b/>
                        <w:sz w:val="28"/>
                        <w:szCs w:val="28"/>
                      </w:rPr>
                      <w:t>Appendix A</w:t>
                    </w:r>
                  </w:p>
                </w:txbxContent>
              </v:textbox>
              <w10:wrap type="square" anchorx="margin"/>
            </v:shape>
          </w:pict>
        </mc:Fallback>
      </mc:AlternateContent>
    </w:r>
    <w:r w:rsidR="004D0CE9">
      <w:rPr>
        <w:noProof/>
        <w:lang w:eastAsia="en-GB"/>
      </w:rPr>
      <mc:AlternateContent>
        <mc:Choice Requires="wps">
          <w:drawing>
            <wp:anchor distT="0" distB="0" distL="114300" distR="114300" simplePos="0" relativeHeight="251656192" behindDoc="0" locked="0" layoutInCell="0" allowOverlap="1" wp14:anchorId="51E60FD9" wp14:editId="391C6630">
              <wp:simplePos x="0" y="0"/>
              <wp:positionH relativeFrom="page">
                <wp:posOffset>6309360</wp:posOffset>
              </wp:positionH>
              <wp:positionV relativeFrom="page">
                <wp:posOffset>502920</wp:posOffset>
              </wp:positionV>
              <wp:extent cx="889000" cy="2357120"/>
              <wp:effectExtent l="0" t="0" r="635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CE9" w:rsidRDefault="004D0CE9" w:rsidP="00B54126">
                          <w:pPr>
                            <w:pStyle w:val="Logo"/>
                            <w:jc w:val="center"/>
                          </w:pPr>
                          <w:r w:rsidRPr="005232EE">
                            <w:rPr>
                              <w:lang w:eastAsia="en-GB"/>
                            </w:rPr>
                            <w:drawing>
                              <wp:inline distT="0" distB="0" distL="0" distR="0" wp14:anchorId="36FB71EE" wp14:editId="1529A51B">
                                <wp:extent cx="687705" cy="11512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05" cy="115125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E60FD9"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4D0CE9" w:rsidRDefault="004D0CE9" w:rsidP="00B54126">
                    <w:pPr>
                      <w:pStyle w:val="Logo"/>
                      <w:jc w:val="center"/>
                    </w:pPr>
                    <w:r w:rsidRPr="005232EE">
                      <w:rPr>
                        <w:lang w:eastAsia="en-GB"/>
                      </w:rPr>
                      <w:drawing>
                        <wp:inline distT="0" distB="0" distL="0" distR="0" wp14:anchorId="36FB71EE" wp14:editId="1529A51B">
                          <wp:extent cx="687705" cy="11512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705" cy="115125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CE9" w:rsidRDefault="004D0C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563F9"/>
    <w:multiLevelType w:val="hybridMultilevel"/>
    <w:tmpl w:val="60CCD44A"/>
    <w:lvl w:ilvl="0" w:tplc="1C2E6DA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23820DB"/>
    <w:multiLevelType w:val="hybridMultilevel"/>
    <w:tmpl w:val="31CE06E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15116FD0"/>
    <w:multiLevelType w:val="hybridMultilevel"/>
    <w:tmpl w:val="7DF83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2407F"/>
    <w:multiLevelType w:val="multilevel"/>
    <w:tmpl w:val="2068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030B5"/>
    <w:multiLevelType w:val="multilevel"/>
    <w:tmpl w:val="A316F43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22BA72CE"/>
    <w:multiLevelType w:val="hybridMultilevel"/>
    <w:tmpl w:val="1B1A18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6B5984"/>
    <w:multiLevelType w:val="multilevel"/>
    <w:tmpl w:val="E93C3088"/>
    <w:lvl w:ilvl="0">
      <w:start w:val="1"/>
      <w:numFmt w:val="decimal"/>
      <w:lvlText w:val="%1."/>
      <w:lvlJc w:val="left"/>
      <w:pPr>
        <w:ind w:left="360" w:hanging="360"/>
      </w:pPr>
    </w:lvl>
    <w:lvl w:ilvl="1">
      <w:start w:val="1"/>
      <w:numFmt w:val="decimal"/>
      <w:pStyle w:val="BodyText1"/>
      <w:lvlText w:val="%1.%2."/>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FB024F"/>
    <w:multiLevelType w:val="hybridMultilevel"/>
    <w:tmpl w:val="AD66CBF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AD61A3"/>
    <w:multiLevelType w:val="hybridMultilevel"/>
    <w:tmpl w:val="0A5E3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27E50"/>
    <w:multiLevelType w:val="multilevel"/>
    <w:tmpl w:val="8ECCAB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49A2F57"/>
    <w:multiLevelType w:val="multilevel"/>
    <w:tmpl w:val="ABAEC3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80135CC"/>
    <w:multiLevelType w:val="hybridMultilevel"/>
    <w:tmpl w:val="3F006A7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 w15:restartNumberingAfterBreak="0">
    <w:nsid w:val="3E697D6A"/>
    <w:multiLevelType w:val="multilevel"/>
    <w:tmpl w:val="293A24E2"/>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6157BC"/>
    <w:multiLevelType w:val="hybridMultilevel"/>
    <w:tmpl w:val="D4AEC2FC"/>
    <w:lvl w:ilvl="0" w:tplc="DBDE54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BF95061"/>
    <w:multiLevelType w:val="hybridMultilevel"/>
    <w:tmpl w:val="9B42BC3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6" w15:restartNumberingAfterBreak="0">
    <w:nsid w:val="51742095"/>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2206"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41749B9"/>
    <w:multiLevelType w:val="hybridMultilevel"/>
    <w:tmpl w:val="0AD28FD2"/>
    <w:lvl w:ilvl="0" w:tplc="08090001">
      <w:start w:val="1"/>
      <w:numFmt w:val="bullet"/>
      <w:lvlText w:val=""/>
      <w:lvlJc w:val="left"/>
      <w:pPr>
        <w:ind w:left="44" w:hanging="360"/>
      </w:pPr>
      <w:rPr>
        <w:rFonts w:ascii="Symbol" w:hAnsi="Symbol" w:hint="default"/>
      </w:rPr>
    </w:lvl>
    <w:lvl w:ilvl="1" w:tplc="08090003" w:tentative="1">
      <w:start w:val="1"/>
      <w:numFmt w:val="bullet"/>
      <w:lvlText w:val="o"/>
      <w:lvlJc w:val="left"/>
      <w:pPr>
        <w:ind w:left="764" w:hanging="360"/>
      </w:pPr>
      <w:rPr>
        <w:rFonts w:ascii="Courier New" w:hAnsi="Courier New" w:cs="Courier New" w:hint="default"/>
      </w:rPr>
    </w:lvl>
    <w:lvl w:ilvl="2" w:tplc="08090005" w:tentative="1">
      <w:start w:val="1"/>
      <w:numFmt w:val="bullet"/>
      <w:lvlText w:val=""/>
      <w:lvlJc w:val="left"/>
      <w:pPr>
        <w:ind w:left="1484" w:hanging="360"/>
      </w:pPr>
      <w:rPr>
        <w:rFonts w:ascii="Wingdings" w:hAnsi="Wingdings" w:hint="default"/>
      </w:rPr>
    </w:lvl>
    <w:lvl w:ilvl="3" w:tplc="08090001" w:tentative="1">
      <w:start w:val="1"/>
      <w:numFmt w:val="bullet"/>
      <w:lvlText w:val=""/>
      <w:lvlJc w:val="left"/>
      <w:pPr>
        <w:ind w:left="2204" w:hanging="360"/>
      </w:pPr>
      <w:rPr>
        <w:rFonts w:ascii="Symbol" w:hAnsi="Symbol" w:hint="default"/>
      </w:rPr>
    </w:lvl>
    <w:lvl w:ilvl="4" w:tplc="08090003" w:tentative="1">
      <w:start w:val="1"/>
      <w:numFmt w:val="bullet"/>
      <w:lvlText w:val="o"/>
      <w:lvlJc w:val="left"/>
      <w:pPr>
        <w:ind w:left="2924" w:hanging="360"/>
      </w:pPr>
      <w:rPr>
        <w:rFonts w:ascii="Courier New" w:hAnsi="Courier New" w:cs="Courier New" w:hint="default"/>
      </w:rPr>
    </w:lvl>
    <w:lvl w:ilvl="5" w:tplc="08090005" w:tentative="1">
      <w:start w:val="1"/>
      <w:numFmt w:val="bullet"/>
      <w:lvlText w:val=""/>
      <w:lvlJc w:val="left"/>
      <w:pPr>
        <w:ind w:left="3644" w:hanging="360"/>
      </w:pPr>
      <w:rPr>
        <w:rFonts w:ascii="Wingdings" w:hAnsi="Wingdings" w:hint="default"/>
      </w:rPr>
    </w:lvl>
    <w:lvl w:ilvl="6" w:tplc="08090001" w:tentative="1">
      <w:start w:val="1"/>
      <w:numFmt w:val="bullet"/>
      <w:lvlText w:val=""/>
      <w:lvlJc w:val="left"/>
      <w:pPr>
        <w:ind w:left="4364" w:hanging="360"/>
      </w:pPr>
      <w:rPr>
        <w:rFonts w:ascii="Symbol" w:hAnsi="Symbol" w:hint="default"/>
      </w:rPr>
    </w:lvl>
    <w:lvl w:ilvl="7" w:tplc="08090003" w:tentative="1">
      <w:start w:val="1"/>
      <w:numFmt w:val="bullet"/>
      <w:lvlText w:val="o"/>
      <w:lvlJc w:val="left"/>
      <w:pPr>
        <w:ind w:left="5084" w:hanging="360"/>
      </w:pPr>
      <w:rPr>
        <w:rFonts w:ascii="Courier New" w:hAnsi="Courier New" w:cs="Courier New" w:hint="default"/>
      </w:rPr>
    </w:lvl>
    <w:lvl w:ilvl="8" w:tplc="08090005" w:tentative="1">
      <w:start w:val="1"/>
      <w:numFmt w:val="bullet"/>
      <w:lvlText w:val=""/>
      <w:lvlJc w:val="left"/>
      <w:pPr>
        <w:ind w:left="5804" w:hanging="360"/>
      </w:pPr>
      <w:rPr>
        <w:rFonts w:ascii="Wingdings" w:hAnsi="Wingdings" w:hint="default"/>
      </w:rPr>
    </w:lvl>
  </w:abstractNum>
  <w:abstractNum w:abstractNumId="18" w15:restartNumberingAfterBreak="0">
    <w:nsid w:val="566E7932"/>
    <w:multiLevelType w:val="multilevel"/>
    <w:tmpl w:val="118ED0DE"/>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6E5501D"/>
    <w:multiLevelType w:val="multilevel"/>
    <w:tmpl w:val="39AE2A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627309"/>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17A43C6"/>
    <w:multiLevelType w:val="multilevel"/>
    <w:tmpl w:val="A910678E"/>
    <w:lvl w:ilvl="0">
      <w:start w:val="5"/>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2" w15:restartNumberingAfterBreak="0">
    <w:nsid w:val="61E00D8A"/>
    <w:multiLevelType w:val="hybridMultilevel"/>
    <w:tmpl w:val="57B2CB12"/>
    <w:lvl w:ilvl="0" w:tplc="916680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2CC6804"/>
    <w:multiLevelType w:val="hybridMultilevel"/>
    <w:tmpl w:val="892AB674"/>
    <w:lvl w:ilvl="0" w:tplc="48462F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563ADA"/>
    <w:multiLevelType w:val="multilevel"/>
    <w:tmpl w:val="12107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C1196"/>
    <w:multiLevelType w:val="multilevel"/>
    <w:tmpl w:val="AB6CBA82"/>
    <w:lvl w:ilvl="0">
      <w:start w:val="1"/>
      <w:numFmt w:val="bullet"/>
      <w:lvlText w:val=""/>
      <w:lvlJc w:val="left"/>
      <w:pPr>
        <w:ind w:left="360" w:hanging="360"/>
      </w:pPr>
      <w:rPr>
        <w:rFonts w:ascii="Symbol" w:hAnsi="Symbol" w:hint="default"/>
      </w:rPr>
    </w:lvl>
    <w:lvl w:ilvl="1">
      <w:start w:val="1"/>
      <w:numFmt w:val="decimal"/>
      <w:lvlText w:val="%1.%2."/>
      <w:lvlJc w:val="left"/>
      <w:pPr>
        <w:ind w:left="1283"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913D28"/>
    <w:multiLevelType w:val="hybridMultilevel"/>
    <w:tmpl w:val="B328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12377C"/>
    <w:multiLevelType w:val="multilevel"/>
    <w:tmpl w:val="9FAC25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A371DE1"/>
    <w:multiLevelType w:val="multilevel"/>
    <w:tmpl w:val="2774F7F0"/>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CD4D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3" w:hanging="432"/>
      </w:pPr>
      <w:rPr>
        <w:rFonts w:hint="default"/>
        <w:b w:val="0"/>
      </w:rPr>
    </w:lvl>
    <w:lvl w:ilvl="2">
      <w:start w:val="1"/>
      <w:numFmt w:val="decimal"/>
      <w:lvlText w:val="%1.%2.%3."/>
      <w:lvlJc w:val="left"/>
      <w:pPr>
        <w:ind w:left="515" w:hanging="504"/>
      </w:pPr>
      <w:rPr>
        <w:rFonts w:hint="default"/>
        <w:b w:val="0"/>
      </w:rPr>
    </w:lvl>
    <w:lvl w:ilvl="3">
      <w:start w:val="1"/>
      <w:numFmt w:val="decimal"/>
      <w:lvlText w:val="%1.%2.%3.%4."/>
      <w:lvlJc w:val="left"/>
      <w:pPr>
        <w:ind w:left="1019" w:hanging="648"/>
      </w:pPr>
      <w:rPr>
        <w:rFonts w:hint="default"/>
      </w:rPr>
    </w:lvl>
    <w:lvl w:ilvl="4">
      <w:start w:val="1"/>
      <w:numFmt w:val="decimal"/>
      <w:lvlText w:val="%1.%2.%3.%4.%5."/>
      <w:lvlJc w:val="left"/>
      <w:pPr>
        <w:ind w:left="1523" w:hanging="792"/>
      </w:pPr>
      <w:rPr>
        <w:rFonts w:hint="default"/>
      </w:rPr>
    </w:lvl>
    <w:lvl w:ilvl="5">
      <w:start w:val="1"/>
      <w:numFmt w:val="decimal"/>
      <w:lvlText w:val="%1.%2.%3.%4.%5.%6."/>
      <w:lvlJc w:val="left"/>
      <w:pPr>
        <w:ind w:left="2027" w:hanging="936"/>
      </w:pPr>
      <w:rPr>
        <w:rFonts w:hint="default"/>
      </w:rPr>
    </w:lvl>
    <w:lvl w:ilvl="6">
      <w:start w:val="1"/>
      <w:numFmt w:val="decimal"/>
      <w:lvlText w:val="%1.%2.%3.%4.%5.%6.%7."/>
      <w:lvlJc w:val="left"/>
      <w:pPr>
        <w:ind w:left="2531" w:hanging="1080"/>
      </w:pPr>
      <w:rPr>
        <w:rFonts w:hint="default"/>
      </w:rPr>
    </w:lvl>
    <w:lvl w:ilvl="7">
      <w:start w:val="1"/>
      <w:numFmt w:val="decimal"/>
      <w:lvlText w:val="%1.%2.%3.%4.%5.%6.%7.%8."/>
      <w:lvlJc w:val="left"/>
      <w:pPr>
        <w:ind w:left="3035" w:hanging="1224"/>
      </w:pPr>
      <w:rPr>
        <w:rFonts w:hint="default"/>
      </w:rPr>
    </w:lvl>
    <w:lvl w:ilvl="8">
      <w:start w:val="1"/>
      <w:numFmt w:val="decimal"/>
      <w:lvlText w:val="%1.%2.%3.%4.%5.%6.%7.%8.%9."/>
      <w:lvlJc w:val="left"/>
      <w:pPr>
        <w:ind w:left="3611" w:hanging="1440"/>
      </w:pPr>
      <w:rPr>
        <w:rFonts w:hint="default"/>
      </w:rPr>
    </w:lvl>
  </w:abstractNum>
  <w:abstractNum w:abstractNumId="30" w15:restartNumberingAfterBreak="0">
    <w:nsid w:val="745C4C3A"/>
    <w:multiLevelType w:val="multilevel"/>
    <w:tmpl w:val="05C4A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359FF"/>
    <w:multiLevelType w:val="multilevel"/>
    <w:tmpl w:val="1BD64A12"/>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EC6E84"/>
    <w:multiLevelType w:val="hybridMultilevel"/>
    <w:tmpl w:val="FA6205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966566"/>
    <w:multiLevelType w:val="multilevel"/>
    <w:tmpl w:val="482056E0"/>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6"/>
      <w:numFmt w:val="decimal"/>
      <w:lvlText w:val="%1.%2.%3"/>
      <w:lvlJc w:val="left"/>
      <w:pPr>
        <w:ind w:left="143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29"/>
  </w:num>
  <w:num w:numId="3">
    <w:abstractNumId w:val="6"/>
  </w:num>
  <w:num w:numId="4">
    <w:abstractNumId w:val="9"/>
  </w:num>
  <w:num w:numId="5">
    <w:abstractNumId w:val="27"/>
  </w:num>
  <w:num w:numId="6">
    <w:abstractNumId w:val="20"/>
  </w:num>
  <w:num w:numId="7">
    <w:abstractNumId w:val="16"/>
  </w:num>
  <w:num w:numId="8">
    <w:abstractNumId w:val="2"/>
  </w:num>
  <w:num w:numId="9">
    <w:abstractNumId w:val="25"/>
  </w:num>
  <w:num w:numId="10">
    <w:abstractNumId w:val="19"/>
  </w:num>
  <w:num w:numId="11">
    <w:abstractNumId w:val="4"/>
  </w:num>
  <w:num w:numId="12">
    <w:abstractNumId w:val="5"/>
  </w:num>
  <w:num w:numId="13">
    <w:abstractNumId w:val="12"/>
  </w:num>
  <w:num w:numId="14">
    <w:abstractNumId w:val="14"/>
  </w:num>
  <w:num w:numId="15">
    <w:abstractNumId w:val="10"/>
  </w:num>
  <w:num w:numId="16">
    <w:abstractNumId w:val="21"/>
  </w:num>
  <w:num w:numId="17">
    <w:abstractNumId w:val="18"/>
  </w:num>
  <w:num w:numId="18">
    <w:abstractNumId w:val="33"/>
  </w:num>
  <w:num w:numId="19">
    <w:abstractNumId w:val="31"/>
  </w:num>
  <w:num w:numId="20">
    <w:abstractNumId w:val="1"/>
  </w:num>
  <w:num w:numId="21">
    <w:abstractNumId w:val="28"/>
  </w:num>
  <w:num w:numId="22">
    <w:abstractNumId w:val="11"/>
  </w:num>
  <w:num w:numId="23">
    <w:abstractNumId w:val="30"/>
  </w:num>
  <w:num w:numId="24">
    <w:abstractNumId w:val="3"/>
  </w:num>
  <w:num w:numId="25">
    <w:abstractNumId w:val="24"/>
  </w:num>
  <w:num w:numId="26">
    <w:abstractNumId w:val="32"/>
  </w:num>
  <w:num w:numId="27">
    <w:abstractNumId w:val="17"/>
  </w:num>
  <w:num w:numId="28">
    <w:abstractNumId w:val="7"/>
  </w:num>
  <w:num w:numId="29">
    <w:abstractNumId w:val="26"/>
  </w:num>
  <w:num w:numId="30">
    <w:abstractNumId w:val="22"/>
  </w:num>
  <w:num w:numId="31">
    <w:abstractNumId w:val="0"/>
  </w:num>
  <w:num w:numId="32">
    <w:abstractNumId w:val="23"/>
  </w:num>
  <w:num w:numId="33">
    <w:abstractNumId w:val="13"/>
  </w:num>
  <w:num w:numId="3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550"/>
    <w:rsid w:val="000005E2"/>
    <w:rsid w:val="0000231A"/>
    <w:rsid w:val="00004BC3"/>
    <w:rsid w:val="00006192"/>
    <w:rsid w:val="00015F34"/>
    <w:rsid w:val="00022C97"/>
    <w:rsid w:val="00024DEF"/>
    <w:rsid w:val="00031AD9"/>
    <w:rsid w:val="000348F9"/>
    <w:rsid w:val="00045244"/>
    <w:rsid w:val="000463EF"/>
    <w:rsid w:val="00047CDE"/>
    <w:rsid w:val="0005361A"/>
    <w:rsid w:val="000574FF"/>
    <w:rsid w:val="000602C1"/>
    <w:rsid w:val="000627D3"/>
    <w:rsid w:val="00071EFD"/>
    <w:rsid w:val="000723F3"/>
    <w:rsid w:val="00072556"/>
    <w:rsid w:val="00073AE5"/>
    <w:rsid w:val="00075E30"/>
    <w:rsid w:val="00080FB8"/>
    <w:rsid w:val="000827FA"/>
    <w:rsid w:val="000830D0"/>
    <w:rsid w:val="00086935"/>
    <w:rsid w:val="00093F19"/>
    <w:rsid w:val="00094251"/>
    <w:rsid w:val="000A0628"/>
    <w:rsid w:val="000A39A4"/>
    <w:rsid w:val="000A4134"/>
    <w:rsid w:val="000A75BD"/>
    <w:rsid w:val="000A7DE5"/>
    <w:rsid w:val="000B4C8B"/>
    <w:rsid w:val="000C4E67"/>
    <w:rsid w:val="000C5404"/>
    <w:rsid w:val="000D069A"/>
    <w:rsid w:val="000D10BC"/>
    <w:rsid w:val="000D5FEC"/>
    <w:rsid w:val="000D7D61"/>
    <w:rsid w:val="000E32E2"/>
    <w:rsid w:val="000F039F"/>
    <w:rsid w:val="000F1520"/>
    <w:rsid w:val="00101DAF"/>
    <w:rsid w:val="00104307"/>
    <w:rsid w:val="00112657"/>
    <w:rsid w:val="00112D91"/>
    <w:rsid w:val="00113B1A"/>
    <w:rsid w:val="0011414B"/>
    <w:rsid w:val="001229C4"/>
    <w:rsid w:val="00130A9F"/>
    <w:rsid w:val="00132FB4"/>
    <w:rsid w:val="00136BA9"/>
    <w:rsid w:val="00145003"/>
    <w:rsid w:val="00145479"/>
    <w:rsid w:val="0014613D"/>
    <w:rsid w:val="0014785D"/>
    <w:rsid w:val="001503F2"/>
    <w:rsid w:val="0015215F"/>
    <w:rsid w:val="001524E0"/>
    <w:rsid w:val="00160114"/>
    <w:rsid w:val="00162699"/>
    <w:rsid w:val="00164640"/>
    <w:rsid w:val="001659D7"/>
    <w:rsid w:val="00167DB7"/>
    <w:rsid w:val="00173F5F"/>
    <w:rsid w:val="00174F91"/>
    <w:rsid w:val="00175C53"/>
    <w:rsid w:val="00191222"/>
    <w:rsid w:val="00191D1C"/>
    <w:rsid w:val="001A3138"/>
    <w:rsid w:val="001A4A4D"/>
    <w:rsid w:val="001B3732"/>
    <w:rsid w:val="001B520A"/>
    <w:rsid w:val="001C5839"/>
    <w:rsid w:val="001D6073"/>
    <w:rsid w:val="001D6E37"/>
    <w:rsid w:val="001E2379"/>
    <w:rsid w:val="001E43F7"/>
    <w:rsid w:val="001E5A46"/>
    <w:rsid w:val="001F18B0"/>
    <w:rsid w:val="001F1CF8"/>
    <w:rsid w:val="00204FE8"/>
    <w:rsid w:val="00211A01"/>
    <w:rsid w:val="00223E63"/>
    <w:rsid w:val="00225477"/>
    <w:rsid w:val="002328BB"/>
    <w:rsid w:val="00234826"/>
    <w:rsid w:val="00236008"/>
    <w:rsid w:val="00240BE4"/>
    <w:rsid w:val="002518AC"/>
    <w:rsid w:val="00266126"/>
    <w:rsid w:val="00275A3A"/>
    <w:rsid w:val="00276DF0"/>
    <w:rsid w:val="00281330"/>
    <w:rsid w:val="0028298C"/>
    <w:rsid w:val="00282F8B"/>
    <w:rsid w:val="00286BC7"/>
    <w:rsid w:val="00286C04"/>
    <w:rsid w:val="002918C2"/>
    <w:rsid w:val="002A22EC"/>
    <w:rsid w:val="002A59A7"/>
    <w:rsid w:val="002B1653"/>
    <w:rsid w:val="002C5942"/>
    <w:rsid w:val="002D2D16"/>
    <w:rsid w:val="002D44D9"/>
    <w:rsid w:val="002E0171"/>
    <w:rsid w:val="002F218D"/>
    <w:rsid w:val="002F54A9"/>
    <w:rsid w:val="0030106E"/>
    <w:rsid w:val="003027A6"/>
    <w:rsid w:val="00304451"/>
    <w:rsid w:val="00304C2D"/>
    <w:rsid w:val="0030631B"/>
    <w:rsid w:val="00306D21"/>
    <w:rsid w:val="003132E1"/>
    <w:rsid w:val="00316795"/>
    <w:rsid w:val="00320CFD"/>
    <w:rsid w:val="00322B6C"/>
    <w:rsid w:val="0032503F"/>
    <w:rsid w:val="00335DEF"/>
    <w:rsid w:val="00341138"/>
    <w:rsid w:val="0034219B"/>
    <w:rsid w:val="00342725"/>
    <w:rsid w:val="00347C99"/>
    <w:rsid w:val="00347FE8"/>
    <w:rsid w:val="00357E29"/>
    <w:rsid w:val="003625A7"/>
    <w:rsid w:val="0036263C"/>
    <w:rsid w:val="00370B34"/>
    <w:rsid w:val="00375C43"/>
    <w:rsid w:val="003769BF"/>
    <w:rsid w:val="00377203"/>
    <w:rsid w:val="003812A4"/>
    <w:rsid w:val="003828BB"/>
    <w:rsid w:val="0038407C"/>
    <w:rsid w:val="00396A9A"/>
    <w:rsid w:val="003972F8"/>
    <w:rsid w:val="003B22AE"/>
    <w:rsid w:val="003C1012"/>
    <w:rsid w:val="003D0245"/>
    <w:rsid w:val="003D0BBB"/>
    <w:rsid w:val="003D31EC"/>
    <w:rsid w:val="003D3422"/>
    <w:rsid w:val="003D4EE8"/>
    <w:rsid w:val="003D7220"/>
    <w:rsid w:val="003E1505"/>
    <w:rsid w:val="003F15ED"/>
    <w:rsid w:val="003F1AED"/>
    <w:rsid w:val="00400473"/>
    <w:rsid w:val="004062FB"/>
    <w:rsid w:val="004323F6"/>
    <w:rsid w:val="00441DB5"/>
    <w:rsid w:val="0044553F"/>
    <w:rsid w:val="004507B4"/>
    <w:rsid w:val="004532AF"/>
    <w:rsid w:val="00460421"/>
    <w:rsid w:val="00466FC0"/>
    <w:rsid w:val="00471C2E"/>
    <w:rsid w:val="00472885"/>
    <w:rsid w:val="00476917"/>
    <w:rsid w:val="0047732E"/>
    <w:rsid w:val="004802E0"/>
    <w:rsid w:val="00481EF1"/>
    <w:rsid w:val="00483038"/>
    <w:rsid w:val="004841EC"/>
    <w:rsid w:val="004846D7"/>
    <w:rsid w:val="0048608D"/>
    <w:rsid w:val="0048619E"/>
    <w:rsid w:val="004A0F23"/>
    <w:rsid w:val="004B6D11"/>
    <w:rsid w:val="004C32FB"/>
    <w:rsid w:val="004D0CE9"/>
    <w:rsid w:val="004D36CF"/>
    <w:rsid w:val="004D565A"/>
    <w:rsid w:val="004D587C"/>
    <w:rsid w:val="004E5BD7"/>
    <w:rsid w:val="004F30A8"/>
    <w:rsid w:val="004F3C9B"/>
    <w:rsid w:val="00502886"/>
    <w:rsid w:val="00503FF3"/>
    <w:rsid w:val="005058D6"/>
    <w:rsid w:val="005065EA"/>
    <w:rsid w:val="005144B3"/>
    <w:rsid w:val="00515DF3"/>
    <w:rsid w:val="00525176"/>
    <w:rsid w:val="00535385"/>
    <w:rsid w:val="005354D0"/>
    <w:rsid w:val="0054039A"/>
    <w:rsid w:val="00546D2F"/>
    <w:rsid w:val="00551E3E"/>
    <w:rsid w:val="0055318E"/>
    <w:rsid w:val="00567CC5"/>
    <w:rsid w:val="00567DDF"/>
    <w:rsid w:val="00580A7D"/>
    <w:rsid w:val="00587BC5"/>
    <w:rsid w:val="0059155F"/>
    <w:rsid w:val="00593DF3"/>
    <w:rsid w:val="00594DC8"/>
    <w:rsid w:val="0059622B"/>
    <w:rsid w:val="005A6823"/>
    <w:rsid w:val="005B0C51"/>
    <w:rsid w:val="005B7F88"/>
    <w:rsid w:val="005C0BB0"/>
    <w:rsid w:val="005C2864"/>
    <w:rsid w:val="005E5B98"/>
    <w:rsid w:val="005E794F"/>
    <w:rsid w:val="005F4718"/>
    <w:rsid w:val="005F5508"/>
    <w:rsid w:val="005F650E"/>
    <w:rsid w:val="00601346"/>
    <w:rsid w:val="006019C5"/>
    <w:rsid w:val="00602F26"/>
    <w:rsid w:val="006030F0"/>
    <w:rsid w:val="00605EDC"/>
    <w:rsid w:val="00614E39"/>
    <w:rsid w:val="006155B6"/>
    <w:rsid w:val="00617C25"/>
    <w:rsid w:val="00620AA4"/>
    <w:rsid w:val="00621758"/>
    <w:rsid w:val="0062188D"/>
    <w:rsid w:val="00624545"/>
    <w:rsid w:val="00631498"/>
    <w:rsid w:val="0063388F"/>
    <w:rsid w:val="006352BB"/>
    <w:rsid w:val="00640866"/>
    <w:rsid w:val="00644277"/>
    <w:rsid w:val="006454ED"/>
    <w:rsid w:val="00645776"/>
    <w:rsid w:val="00652044"/>
    <w:rsid w:val="00665538"/>
    <w:rsid w:val="00665EA2"/>
    <w:rsid w:val="00681DC6"/>
    <w:rsid w:val="00690D4C"/>
    <w:rsid w:val="0069384E"/>
    <w:rsid w:val="00696342"/>
    <w:rsid w:val="00697BB2"/>
    <w:rsid w:val="006A57B7"/>
    <w:rsid w:val="006A6031"/>
    <w:rsid w:val="006B3072"/>
    <w:rsid w:val="006B3DB0"/>
    <w:rsid w:val="006B66EA"/>
    <w:rsid w:val="006D62AE"/>
    <w:rsid w:val="006E2886"/>
    <w:rsid w:val="006E4179"/>
    <w:rsid w:val="006E4E7E"/>
    <w:rsid w:val="006F33FA"/>
    <w:rsid w:val="00700812"/>
    <w:rsid w:val="00706504"/>
    <w:rsid w:val="00707938"/>
    <w:rsid w:val="00710CF6"/>
    <w:rsid w:val="00712E64"/>
    <w:rsid w:val="00716861"/>
    <w:rsid w:val="00723E04"/>
    <w:rsid w:val="0073305B"/>
    <w:rsid w:val="00734613"/>
    <w:rsid w:val="00736ED8"/>
    <w:rsid w:val="007451C0"/>
    <w:rsid w:val="007453A0"/>
    <w:rsid w:val="00747474"/>
    <w:rsid w:val="00751CEE"/>
    <w:rsid w:val="007529D5"/>
    <w:rsid w:val="00754413"/>
    <w:rsid w:val="00757175"/>
    <w:rsid w:val="00760716"/>
    <w:rsid w:val="007626E3"/>
    <w:rsid w:val="00764766"/>
    <w:rsid w:val="0076680F"/>
    <w:rsid w:val="00776435"/>
    <w:rsid w:val="0078581F"/>
    <w:rsid w:val="00785A93"/>
    <w:rsid w:val="007908F0"/>
    <w:rsid w:val="0079193E"/>
    <w:rsid w:val="00793ADA"/>
    <w:rsid w:val="007967CF"/>
    <w:rsid w:val="007A424C"/>
    <w:rsid w:val="007A4A46"/>
    <w:rsid w:val="007A4DBB"/>
    <w:rsid w:val="007A6FA0"/>
    <w:rsid w:val="007B1360"/>
    <w:rsid w:val="007B593D"/>
    <w:rsid w:val="007D5C09"/>
    <w:rsid w:val="007E0648"/>
    <w:rsid w:val="007E65A4"/>
    <w:rsid w:val="007F213A"/>
    <w:rsid w:val="007F75CC"/>
    <w:rsid w:val="00802AFD"/>
    <w:rsid w:val="00803F9C"/>
    <w:rsid w:val="008047BA"/>
    <w:rsid w:val="00811ECD"/>
    <w:rsid w:val="00812420"/>
    <w:rsid w:val="00813357"/>
    <w:rsid w:val="00814692"/>
    <w:rsid w:val="0082104C"/>
    <w:rsid w:val="00831447"/>
    <w:rsid w:val="00833BD8"/>
    <w:rsid w:val="00834ADF"/>
    <w:rsid w:val="0084186F"/>
    <w:rsid w:val="0084392C"/>
    <w:rsid w:val="00846B8D"/>
    <w:rsid w:val="00850658"/>
    <w:rsid w:val="0085256C"/>
    <w:rsid w:val="00852DDA"/>
    <w:rsid w:val="00853E99"/>
    <w:rsid w:val="00854E3F"/>
    <w:rsid w:val="008608E8"/>
    <w:rsid w:val="00863E47"/>
    <w:rsid w:val="00870FBD"/>
    <w:rsid w:val="00877D24"/>
    <w:rsid w:val="00882149"/>
    <w:rsid w:val="0088445C"/>
    <w:rsid w:val="00884720"/>
    <w:rsid w:val="008927B0"/>
    <w:rsid w:val="008A5FE5"/>
    <w:rsid w:val="008B1AB6"/>
    <w:rsid w:val="008B3439"/>
    <w:rsid w:val="008B4FD8"/>
    <w:rsid w:val="008C599D"/>
    <w:rsid w:val="008C7844"/>
    <w:rsid w:val="008D23E1"/>
    <w:rsid w:val="008E78D3"/>
    <w:rsid w:val="008F20A3"/>
    <w:rsid w:val="008F7554"/>
    <w:rsid w:val="008F7959"/>
    <w:rsid w:val="009043CA"/>
    <w:rsid w:val="00905958"/>
    <w:rsid w:val="00906791"/>
    <w:rsid w:val="0090792D"/>
    <w:rsid w:val="009129C9"/>
    <w:rsid w:val="00920F2D"/>
    <w:rsid w:val="009277E2"/>
    <w:rsid w:val="009321F7"/>
    <w:rsid w:val="00932C52"/>
    <w:rsid w:val="0093430C"/>
    <w:rsid w:val="00934FEB"/>
    <w:rsid w:val="00941B0D"/>
    <w:rsid w:val="0094502F"/>
    <w:rsid w:val="00956D62"/>
    <w:rsid w:val="00973C00"/>
    <w:rsid w:val="00974E58"/>
    <w:rsid w:val="009801C3"/>
    <w:rsid w:val="00981FD3"/>
    <w:rsid w:val="00984455"/>
    <w:rsid w:val="00985BB8"/>
    <w:rsid w:val="0098743C"/>
    <w:rsid w:val="009A425A"/>
    <w:rsid w:val="009A474E"/>
    <w:rsid w:val="009B59C3"/>
    <w:rsid w:val="009B5F82"/>
    <w:rsid w:val="009B66FB"/>
    <w:rsid w:val="009C7E85"/>
    <w:rsid w:val="009D1692"/>
    <w:rsid w:val="009D2930"/>
    <w:rsid w:val="009D2F0A"/>
    <w:rsid w:val="009E36E2"/>
    <w:rsid w:val="009E4FF4"/>
    <w:rsid w:val="009E545A"/>
    <w:rsid w:val="009E721A"/>
    <w:rsid w:val="009E7327"/>
    <w:rsid w:val="009F6801"/>
    <w:rsid w:val="00A00CF7"/>
    <w:rsid w:val="00A02476"/>
    <w:rsid w:val="00A06315"/>
    <w:rsid w:val="00A07370"/>
    <w:rsid w:val="00A073D4"/>
    <w:rsid w:val="00A139E4"/>
    <w:rsid w:val="00A215A2"/>
    <w:rsid w:val="00A30546"/>
    <w:rsid w:val="00A35C47"/>
    <w:rsid w:val="00A36D0C"/>
    <w:rsid w:val="00A42BC2"/>
    <w:rsid w:val="00A54D9A"/>
    <w:rsid w:val="00A64803"/>
    <w:rsid w:val="00A649BE"/>
    <w:rsid w:val="00A65B24"/>
    <w:rsid w:val="00A942D1"/>
    <w:rsid w:val="00A94741"/>
    <w:rsid w:val="00A951AB"/>
    <w:rsid w:val="00AA13CD"/>
    <w:rsid w:val="00AA4E13"/>
    <w:rsid w:val="00AA583E"/>
    <w:rsid w:val="00AB0D10"/>
    <w:rsid w:val="00AB3FB3"/>
    <w:rsid w:val="00AC2961"/>
    <w:rsid w:val="00AC3E3D"/>
    <w:rsid w:val="00AC618A"/>
    <w:rsid w:val="00AC63D9"/>
    <w:rsid w:val="00AD0EDC"/>
    <w:rsid w:val="00AE2845"/>
    <w:rsid w:val="00AE35EE"/>
    <w:rsid w:val="00AE44E5"/>
    <w:rsid w:val="00AE68E8"/>
    <w:rsid w:val="00AF161E"/>
    <w:rsid w:val="00B0000B"/>
    <w:rsid w:val="00B0001F"/>
    <w:rsid w:val="00B03297"/>
    <w:rsid w:val="00B05F33"/>
    <w:rsid w:val="00B077CF"/>
    <w:rsid w:val="00B10D2B"/>
    <w:rsid w:val="00B42F87"/>
    <w:rsid w:val="00B54126"/>
    <w:rsid w:val="00B641C5"/>
    <w:rsid w:val="00B66BCD"/>
    <w:rsid w:val="00B66BF3"/>
    <w:rsid w:val="00B71ECF"/>
    <w:rsid w:val="00B750C4"/>
    <w:rsid w:val="00BA02E6"/>
    <w:rsid w:val="00BA0965"/>
    <w:rsid w:val="00BB1A94"/>
    <w:rsid w:val="00BC4714"/>
    <w:rsid w:val="00BC6DA6"/>
    <w:rsid w:val="00BD2943"/>
    <w:rsid w:val="00BD5E4C"/>
    <w:rsid w:val="00BD73D5"/>
    <w:rsid w:val="00BE22CA"/>
    <w:rsid w:val="00BE6677"/>
    <w:rsid w:val="00BE735D"/>
    <w:rsid w:val="00BF444B"/>
    <w:rsid w:val="00C03D08"/>
    <w:rsid w:val="00C05681"/>
    <w:rsid w:val="00C15119"/>
    <w:rsid w:val="00C20850"/>
    <w:rsid w:val="00C21884"/>
    <w:rsid w:val="00C23912"/>
    <w:rsid w:val="00C31827"/>
    <w:rsid w:val="00C32290"/>
    <w:rsid w:val="00C37561"/>
    <w:rsid w:val="00C416F5"/>
    <w:rsid w:val="00C42CE0"/>
    <w:rsid w:val="00C51FCE"/>
    <w:rsid w:val="00C7289A"/>
    <w:rsid w:val="00C772B2"/>
    <w:rsid w:val="00C8607E"/>
    <w:rsid w:val="00C86C67"/>
    <w:rsid w:val="00C9479A"/>
    <w:rsid w:val="00C9732F"/>
    <w:rsid w:val="00CA05F4"/>
    <w:rsid w:val="00CA40D5"/>
    <w:rsid w:val="00CA43ED"/>
    <w:rsid w:val="00CB21EC"/>
    <w:rsid w:val="00CB6F78"/>
    <w:rsid w:val="00CB7A96"/>
    <w:rsid w:val="00CE2935"/>
    <w:rsid w:val="00CE2DAB"/>
    <w:rsid w:val="00CE666D"/>
    <w:rsid w:val="00CE73B7"/>
    <w:rsid w:val="00D00F6F"/>
    <w:rsid w:val="00D32406"/>
    <w:rsid w:val="00D32C6C"/>
    <w:rsid w:val="00D338CD"/>
    <w:rsid w:val="00D3652D"/>
    <w:rsid w:val="00D43847"/>
    <w:rsid w:val="00D54C54"/>
    <w:rsid w:val="00D57A8C"/>
    <w:rsid w:val="00D60C81"/>
    <w:rsid w:val="00D60D78"/>
    <w:rsid w:val="00D63902"/>
    <w:rsid w:val="00D64FD9"/>
    <w:rsid w:val="00D678AD"/>
    <w:rsid w:val="00D83D00"/>
    <w:rsid w:val="00D8671E"/>
    <w:rsid w:val="00D875BB"/>
    <w:rsid w:val="00DB1D69"/>
    <w:rsid w:val="00DB3A1B"/>
    <w:rsid w:val="00DB680C"/>
    <w:rsid w:val="00DC780F"/>
    <w:rsid w:val="00DD07F9"/>
    <w:rsid w:val="00DD107B"/>
    <w:rsid w:val="00DE1179"/>
    <w:rsid w:val="00DE18E6"/>
    <w:rsid w:val="00DE2671"/>
    <w:rsid w:val="00DF083F"/>
    <w:rsid w:val="00E01A58"/>
    <w:rsid w:val="00E039FC"/>
    <w:rsid w:val="00E155C8"/>
    <w:rsid w:val="00E203A8"/>
    <w:rsid w:val="00E20E7D"/>
    <w:rsid w:val="00E25487"/>
    <w:rsid w:val="00E2671E"/>
    <w:rsid w:val="00E30B3C"/>
    <w:rsid w:val="00E4161B"/>
    <w:rsid w:val="00E43D03"/>
    <w:rsid w:val="00E60B63"/>
    <w:rsid w:val="00E71843"/>
    <w:rsid w:val="00E72453"/>
    <w:rsid w:val="00E738A4"/>
    <w:rsid w:val="00E86E98"/>
    <w:rsid w:val="00E95449"/>
    <w:rsid w:val="00E9643A"/>
    <w:rsid w:val="00EA04C3"/>
    <w:rsid w:val="00EC6056"/>
    <w:rsid w:val="00EE7540"/>
    <w:rsid w:val="00EE77E3"/>
    <w:rsid w:val="00EF76FC"/>
    <w:rsid w:val="00F00F64"/>
    <w:rsid w:val="00F12058"/>
    <w:rsid w:val="00F13586"/>
    <w:rsid w:val="00F17708"/>
    <w:rsid w:val="00F20403"/>
    <w:rsid w:val="00F239AB"/>
    <w:rsid w:val="00F35987"/>
    <w:rsid w:val="00F36714"/>
    <w:rsid w:val="00F534C6"/>
    <w:rsid w:val="00F56246"/>
    <w:rsid w:val="00F62557"/>
    <w:rsid w:val="00F7154A"/>
    <w:rsid w:val="00F72083"/>
    <w:rsid w:val="00F7502B"/>
    <w:rsid w:val="00F91E75"/>
    <w:rsid w:val="00F9436A"/>
    <w:rsid w:val="00FA1539"/>
    <w:rsid w:val="00FA374F"/>
    <w:rsid w:val="00FA3B1D"/>
    <w:rsid w:val="00FA521B"/>
    <w:rsid w:val="00FA5CED"/>
    <w:rsid w:val="00FA6DD1"/>
    <w:rsid w:val="00FB086C"/>
    <w:rsid w:val="00FB40A0"/>
    <w:rsid w:val="00FB5F6D"/>
    <w:rsid w:val="00FC0E35"/>
    <w:rsid w:val="00FC16B7"/>
    <w:rsid w:val="00FC1AED"/>
    <w:rsid w:val="00FC2430"/>
    <w:rsid w:val="00FC4F35"/>
    <w:rsid w:val="00FC6500"/>
    <w:rsid w:val="00FD2122"/>
    <w:rsid w:val="00FD253D"/>
    <w:rsid w:val="00FD2A07"/>
    <w:rsid w:val="00FD70B1"/>
    <w:rsid w:val="00FD7A33"/>
    <w:rsid w:val="00FE0C0A"/>
    <w:rsid w:val="00FE2000"/>
    <w:rsid w:val="00FE3728"/>
    <w:rsid w:val="00FE6E36"/>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1011DDF-7948-4E2A-BC75-80E95985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rPr>
      <w:b/>
    </w:rPr>
  </w:style>
  <w:style w:type="character" w:customStyle="1" w:styleId="DateCharacterstyle">
    <w:name w:val="Date Character style"/>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link w:val="BalloonText"/>
    <w:rsid w:val="00C9479A"/>
    <w:rPr>
      <w:rFonts w:ascii="Tahoma" w:hAnsi="Tahoma" w:cs="Tahoma"/>
      <w:sz w:val="16"/>
      <w:szCs w:val="16"/>
      <w:lang w:eastAsia="en-US"/>
    </w:rPr>
  </w:style>
  <w:style w:type="paragraph" w:styleId="ListParagraph">
    <w:name w:val="List Paragraph"/>
    <w:basedOn w:val="Normal"/>
    <w:uiPriority w:val="34"/>
    <w:qFormat/>
    <w:rsid w:val="00EC6056"/>
    <w:pPr>
      <w:widowControl/>
      <w:spacing w:line="240" w:lineRule="auto"/>
      <w:ind w:left="720"/>
    </w:pPr>
    <w:rPr>
      <w:rFonts w:ascii="Verdana" w:eastAsia="Calibr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EC6056"/>
    <w:pPr>
      <w:widowControl/>
      <w:spacing w:line="240" w:lineRule="auto"/>
    </w:pPr>
    <w:rPr>
      <w:rFonts w:ascii="Times New Roman" w:hAnsi="Times New Roman"/>
      <w:sz w:val="20"/>
      <w:lang w:eastAsia="en-GB"/>
    </w:rPr>
  </w:style>
  <w:style w:type="character" w:customStyle="1" w:styleId="FootnoteTextChar">
    <w:name w:val="Footnote Text Char"/>
    <w:basedOn w:val="DefaultParagraphFont"/>
    <w:link w:val="FootnoteText"/>
    <w:uiPriority w:val="99"/>
    <w:rsid w:val="00EC6056"/>
  </w:style>
  <w:style w:type="character" w:styleId="FootnoteReference">
    <w:name w:val="footnote reference"/>
    <w:uiPriority w:val="99"/>
    <w:rsid w:val="00EC6056"/>
    <w:rPr>
      <w:vertAlign w:val="superscript"/>
    </w:rPr>
  </w:style>
  <w:style w:type="character" w:styleId="CommentReference">
    <w:name w:val="annotation reference"/>
    <w:uiPriority w:val="99"/>
    <w:rsid w:val="00EC6056"/>
    <w:rPr>
      <w:sz w:val="16"/>
      <w:szCs w:val="16"/>
    </w:rPr>
  </w:style>
  <w:style w:type="paragraph" w:styleId="CommentText">
    <w:name w:val="annotation text"/>
    <w:basedOn w:val="Normal"/>
    <w:link w:val="CommentTextChar"/>
    <w:uiPriority w:val="99"/>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uiPriority w:val="99"/>
    <w:rsid w:val="00EC6056"/>
  </w:style>
  <w:style w:type="character" w:customStyle="1" w:styleId="FooterChar">
    <w:name w:val="Footer Char"/>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rsid w:val="004E5BD7"/>
    <w:pPr>
      <w:widowControl w:val="0"/>
    </w:pPr>
    <w:rPr>
      <w:rFonts w:ascii="Frutiger 45 Light" w:hAnsi="Frutiger 45 Light"/>
      <w:b/>
      <w:bCs/>
      <w:lang w:eastAsia="en-US"/>
    </w:rPr>
  </w:style>
  <w:style w:type="character" w:customStyle="1" w:styleId="CommentSubjectChar">
    <w:name w:val="Comment Subject Char"/>
    <w:link w:val="CommentSubject"/>
    <w:rsid w:val="004E5BD7"/>
    <w:rPr>
      <w:rFonts w:ascii="Frutiger 45 Light" w:hAnsi="Frutiger 45 Light"/>
      <w:b/>
      <w:bCs/>
      <w:lang w:eastAsia="en-US"/>
    </w:rPr>
  </w:style>
  <w:style w:type="character" w:styleId="FollowedHyperlink">
    <w:name w:val="FollowedHyperlink"/>
    <w:rsid w:val="002C5942"/>
    <w:rPr>
      <w:color w:val="800080"/>
      <w:u w:val="single"/>
    </w:rPr>
  </w:style>
  <w:style w:type="paragraph" w:customStyle="1" w:styleId="BodyText1">
    <w:name w:val="Body Text1"/>
    <w:basedOn w:val="Normal"/>
    <w:link w:val="BodyText1Char"/>
    <w:qFormat/>
    <w:rsid w:val="00CA05F4"/>
    <w:pPr>
      <w:widowControl/>
      <w:numPr>
        <w:ilvl w:val="1"/>
        <w:numId w:val="3"/>
      </w:numPr>
      <w:spacing w:before="240" w:after="120" w:line="480" w:lineRule="auto"/>
      <w:jc w:val="both"/>
    </w:pPr>
    <w:rPr>
      <w:rFonts w:ascii="Arial" w:hAnsi="Arial" w:cs="Arial"/>
      <w:szCs w:val="22"/>
      <w:lang w:eastAsia="en-GB"/>
    </w:rPr>
  </w:style>
  <w:style w:type="character" w:customStyle="1" w:styleId="BodyText1Char">
    <w:name w:val="Body Text1 Char"/>
    <w:link w:val="BodyText1"/>
    <w:rsid w:val="00CA05F4"/>
    <w:rPr>
      <w:rFonts w:ascii="Arial" w:hAnsi="Arial" w:cs="Arial"/>
      <w:sz w:val="22"/>
      <w:szCs w:val="22"/>
    </w:rPr>
  </w:style>
  <w:style w:type="character" w:customStyle="1" w:styleId="A4">
    <w:name w:val="A4"/>
    <w:uiPriority w:val="99"/>
    <w:rsid w:val="00B03297"/>
    <w:rPr>
      <w:color w:val="000000"/>
    </w:rPr>
  </w:style>
  <w:style w:type="character" w:styleId="Emphasis">
    <w:name w:val="Emphasis"/>
    <w:uiPriority w:val="20"/>
    <w:qFormat/>
    <w:rsid w:val="00073AE5"/>
    <w:rPr>
      <w:i/>
      <w:iCs/>
    </w:rPr>
  </w:style>
  <w:style w:type="paragraph" w:customStyle="1" w:styleId="MainText">
    <w:name w:val="Main Text"/>
    <w:basedOn w:val="Normal"/>
    <w:rsid w:val="00D54C54"/>
    <w:pPr>
      <w:widowControl/>
      <w:spacing w:line="280" w:lineRule="exact"/>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3917">
      <w:bodyDiv w:val="1"/>
      <w:marLeft w:val="0"/>
      <w:marRight w:val="0"/>
      <w:marTop w:val="0"/>
      <w:marBottom w:val="0"/>
      <w:divBdr>
        <w:top w:val="none" w:sz="0" w:space="0" w:color="auto"/>
        <w:left w:val="none" w:sz="0" w:space="0" w:color="auto"/>
        <w:bottom w:val="none" w:sz="0" w:space="0" w:color="auto"/>
        <w:right w:val="none" w:sz="0" w:space="0" w:color="auto"/>
      </w:divBdr>
    </w:div>
    <w:div w:id="161896603">
      <w:bodyDiv w:val="1"/>
      <w:marLeft w:val="0"/>
      <w:marRight w:val="0"/>
      <w:marTop w:val="0"/>
      <w:marBottom w:val="0"/>
      <w:divBdr>
        <w:top w:val="none" w:sz="0" w:space="0" w:color="auto"/>
        <w:left w:val="none" w:sz="0" w:space="0" w:color="auto"/>
        <w:bottom w:val="none" w:sz="0" w:space="0" w:color="auto"/>
        <w:right w:val="none" w:sz="0" w:space="0" w:color="auto"/>
      </w:divBdr>
    </w:div>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452140900">
      <w:bodyDiv w:val="1"/>
      <w:marLeft w:val="0"/>
      <w:marRight w:val="0"/>
      <w:marTop w:val="0"/>
      <w:marBottom w:val="0"/>
      <w:divBdr>
        <w:top w:val="none" w:sz="0" w:space="0" w:color="auto"/>
        <w:left w:val="none" w:sz="0" w:space="0" w:color="auto"/>
        <w:bottom w:val="none" w:sz="0" w:space="0" w:color="auto"/>
        <w:right w:val="none" w:sz="0" w:space="0" w:color="auto"/>
      </w:divBdr>
    </w:div>
    <w:div w:id="508712301">
      <w:bodyDiv w:val="1"/>
      <w:marLeft w:val="0"/>
      <w:marRight w:val="0"/>
      <w:marTop w:val="0"/>
      <w:marBottom w:val="0"/>
      <w:divBdr>
        <w:top w:val="none" w:sz="0" w:space="0" w:color="auto"/>
        <w:left w:val="none" w:sz="0" w:space="0" w:color="auto"/>
        <w:bottom w:val="none" w:sz="0" w:space="0" w:color="auto"/>
        <w:right w:val="none" w:sz="0" w:space="0" w:color="auto"/>
      </w:divBdr>
    </w:div>
    <w:div w:id="783576841">
      <w:bodyDiv w:val="1"/>
      <w:marLeft w:val="0"/>
      <w:marRight w:val="0"/>
      <w:marTop w:val="0"/>
      <w:marBottom w:val="0"/>
      <w:divBdr>
        <w:top w:val="none" w:sz="0" w:space="0" w:color="auto"/>
        <w:left w:val="none" w:sz="0" w:space="0" w:color="auto"/>
        <w:bottom w:val="none" w:sz="0" w:space="0" w:color="auto"/>
        <w:right w:val="none" w:sz="0" w:space="0" w:color="auto"/>
      </w:divBdr>
    </w:div>
    <w:div w:id="856697380">
      <w:bodyDiv w:val="1"/>
      <w:marLeft w:val="0"/>
      <w:marRight w:val="0"/>
      <w:marTop w:val="0"/>
      <w:marBottom w:val="0"/>
      <w:divBdr>
        <w:top w:val="none" w:sz="0" w:space="0" w:color="auto"/>
        <w:left w:val="none" w:sz="0" w:space="0" w:color="auto"/>
        <w:bottom w:val="none" w:sz="0" w:space="0" w:color="auto"/>
        <w:right w:val="none" w:sz="0" w:space="0" w:color="auto"/>
      </w:divBdr>
    </w:div>
    <w:div w:id="962225911">
      <w:bodyDiv w:val="1"/>
      <w:marLeft w:val="0"/>
      <w:marRight w:val="0"/>
      <w:marTop w:val="0"/>
      <w:marBottom w:val="0"/>
      <w:divBdr>
        <w:top w:val="none" w:sz="0" w:space="0" w:color="auto"/>
        <w:left w:val="none" w:sz="0" w:space="0" w:color="auto"/>
        <w:bottom w:val="none" w:sz="0" w:space="0" w:color="auto"/>
        <w:right w:val="none" w:sz="0" w:space="0" w:color="auto"/>
      </w:divBdr>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 w:id="1095712831">
      <w:bodyDiv w:val="1"/>
      <w:marLeft w:val="0"/>
      <w:marRight w:val="0"/>
      <w:marTop w:val="0"/>
      <w:marBottom w:val="0"/>
      <w:divBdr>
        <w:top w:val="none" w:sz="0" w:space="0" w:color="auto"/>
        <w:left w:val="none" w:sz="0" w:space="0" w:color="auto"/>
        <w:bottom w:val="none" w:sz="0" w:space="0" w:color="auto"/>
        <w:right w:val="none" w:sz="0" w:space="0" w:color="auto"/>
      </w:divBdr>
    </w:div>
    <w:div w:id="1539968883">
      <w:bodyDiv w:val="1"/>
      <w:marLeft w:val="0"/>
      <w:marRight w:val="0"/>
      <w:marTop w:val="0"/>
      <w:marBottom w:val="0"/>
      <w:divBdr>
        <w:top w:val="none" w:sz="0" w:space="0" w:color="auto"/>
        <w:left w:val="none" w:sz="0" w:space="0" w:color="auto"/>
        <w:bottom w:val="none" w:sz="0" w:space="0" w:color="auto"/>
        <w:right w:val="none" w:sz="0" w:space="0" w:color="auto"/>
      </w:divBdr>
    </w:div>
    <w:div w:id="1669365009">
      <w:bodyDiv w:val="1"/>
      <w:marLeft w:val="0"/>
      <w:marRight w:val="0"/>
      <w:marTop w:val="0"/>
      <w:marBottom w:val="0"/>
      <w:divBdr>
        <w:top w:val="none" w:sz="0" w:space="0" w:color="auto"/>
        <w:left w:val="none" w:sz="0" w:space="0" w:color="auto"/>
        <w:bottom w:val="none" w:sz="0" w:space="0" w:color="auto"/>
        <w:right w:val="none" w:sz="0" w:space="0" w:color="auto"/>
      </w:divBdr>
    </w:div>
    <w:div w:id="1852135216">
      <w:bodyDiv w:val="1"/>
      <w:marLeft w:val="0"/>
      <w:marRight w:val="0"/>
      <w:marTop w:val="0"/>
      <w:marBottom w:val="0"/>
      <w:divBdr>
        <w:top w:val="none" w:sz="0" w:space="0" w:color="auto"/>
        <w:left w:val="none" w:sz="0" w:space="0" w:color="auto"/>
        <w:bottom w:val="none" w:sz="0" w:space="0" w:color="auto"/>
        <w:right w:val="none" w:sz="0" w:space="0" w:color="auto"/>
      </w:divBdr>
      <w:divsChild>
        <w:div w:id="103697369">
          <w:marLeft w:val="0"/>
          <w:marRight w:val="0"/>
          <w:marTop w:val="0"/>
          <w:marBottom w:val="0"/>
          <w:divBdr>
            <w:top w:val="none" w:sz="0" w:space="0" w:color="auto"/>
            <w:left w:val="none" w:sz="0" w:space="0" w:color="auto"/>
            <w:bottom w:val="none" w:sz="0" w:space="0" w:color="auto"/>
            <w:right w:val="none" w:sz="0" w:space="0" w:color="auto"/>
          </w:divBdr>
        </w:div>
        <w:div w:id="115833199">
          <w:marLeft w:val="0"/>
          <w:marRight w:val="0"/>
          <w:marTop w:val="0"/>
          <w:marBottom w:val="0"/>
          <w:divBdr>
            <w:top w:val="none" w:sz="0" w:space="0" w:color="auto"/>
            <w:left w:val="none" w:sz="0" w:space="0" w:color="auto"/>
            <w:bottom w:val="none" w:sz="0" w:space="0" w:color="auto"/>
            <w:right w:val="none" w:sz="0" w:space="0" w:color="auto"/>
          </w:divBdr>
        </w:div>
        <w:div w:id="123353875">
          <w:marLeft w:val="0"/>
          <w:marRight w:val="0"/>
          <w:marTop w:val="0"/>
          <w:marBottom w:val="0"/>
          <w:divBdr>
            <w:top w:val="none" w:sz="0" w:space="0" w:color="auto"/>
            <w:left w:val="none" w:sz="0" w:space="0" w:color="auto"/>
            <w:bottom w:val="none" w:sz="0" w:space="0" w:color="auto"/>
            <w:right w:val="none" w:sz="0" w:space="0" w:color="auto"/>
          </w:divBdr>
        </w:div>
        <w:div w:id="323513337">
          <w:marLeft w:val="0"/>
          <w:marRight w:val="0"/>
          <w:marTop w:val="0"/>
          <w:marBottom w:val="0"/>
          <w:divBdr>
            <w:top w:val="none" w:sz="0" w:space="0" w:color="auto"/>
            <w:left w:val="none" w:sz="0" w:space="0" w:color="auto"/>
            <w:bottom w:val="none" w:sz="0" w:space="0" w:color="auto"/>
            <w:right w:val="none" w:sz="0" w:space="0" w:color="auto"/>
          </w:divBdr>
        </w:div>
        <w:div w:id="345790253">
          <w:marLeft w:val="0"/>
          <w:marRight w:val="0"/>
          <w:marTop w:val="0"/>
          <w:marBottom w:val="0"/>
          <w:divBdr>
            <w:top w:val="none" w:sz="0" w:space="0" w:color="auto"/>
            <w:left w:val="none" w:sz="0" w:space="0" w:color="auto"/>
            <w:bottom w:val="none" w:sz="0" w:space="0" w:color="auto"/>
            <w:right w:val="none" w:sz="0" w:space="0" w:color="auto"/>
          </w:divBdr>
        </w:div>
        <w:div w:id="369962910">
          <w:marLeft w:val="0"/>
          <w:marRight w:val="0"/>
          <w:marTop w:val="0"/>
          <w:marBottom w:val="0"/>
          <w:divBdr>
            <w:top w:val="none" w:sz="0" w:space="0" w:color="auto"/>
            <w:left w:val="none" w:sz="0" w:space="0" w:color="auto"/>
            <w:bottom w:val="none" w:sz="0" w:space="0" w:color="auto"/>
            <w:right w:val="none" w:sz="0" w:space="0" w:color="auto"/>
          </w:divBdr>
        </w:div>
        <w:div w:id="662053941">
          <w:marLeft w:val="0"/>
          <w:marRight w:val="0"/>
          <w:marTop w:val="0"/>
          <w:marBottom w:val="0"/>
          <w:divBdr>
            <w:top w:val="none" w:sz="0" w:space="0" w:color="auto"/>
            <w:left w:val="none" w:sz="0" w:space="0" w:color="auto"/>
            <w:bottom w:val="none" w:sz="0" w:space="0" w:color="auto"/>
            <w:right w:val="none" w:sz="0" w:space="0" w:color="auto"/>
          </w:divBdr>
        </w:div>
        <w:div w:id="776288825">
          <w:marLeft w:val="0"/>
          <w:marRight w:val="0"/>
          <w:marTop w:val="0"/>
          <w:marBottom w:val="0"/>
          <w:divBdr>
            <w:top w:val="none" w:sz="0" w:space="0" w:color="auto"/>
            <w:left w:val="none" w:sz="0" w:space="0" w:color="auto"/>
            <w:bottom w:val="none" w:sz="0" w:space="0" w:color="auto"/>
            <w:right w:val="none" w:sz="0" w:space="0" w:color="auto"/>
          </w:divBdr>
        </w:div>
        <w:div w:id="912660365">
          <w:marLeft w:val="0"/>
          <w:marRight w:val="0"/>
          <w:marTop w:val="0"/>
          <w:marBottom w:val="0"/>
          <w:divBdr>
            <w:top w:val="none" w:sz="0" w:space="0" w:color="auto"/>
            <w:left w:val="none" w:sz="0" w:space="0" w:color="auto"/>
            <w:bottom w:val="none" w:sz="0" w:space="0" w:color="auto"/>
            <w:right w:val="none" w:sz="0" w:space="0" w:color="auto"/>
          </w:divBdr>
        </w:div>
        <w:div w:id="1237134399">
          <w:marLeft w:val="0"/>
          <w:marRight w:val="0"/>
          <w:marTop w:val="0"/>
          <w:marBottom w:val="0"/>
          <w:divBdr>
            <w:top w:val="none" w:sz="0" w:space="0" w:color="auto"/>
            <w:left w:val="none" w:sz="0" w:space="0" w:color="auto"/>
            <w:bottom w:val="none" w:sz="0" w:space="0" w:color="auto"/>
            <w:right w:val="none" w:sz="0" w:space="0" w:color="auto"/>
          </w:divBdr>
        </w:div>
        <w:div w:id="1282493904">
          <w:marLeft w:val="0"/>
          <w:marRight w:val="0"/>
          <w:marTop w:val="0"/>
          <w:marBottom w:val="0"/>
          <w:divBdr>
            <w:top w:val="none" w:sz="0" w:space="0" w:color="auto"/>
            <w:left w:val="none" w:sz="0" w:space="0" w:color="auto"/>
            <w:bottom w:val="none" w:sz="0" w:space="0" w:color="auto"/>
            <w:right w:val="none" w:sz="0" w:space="0" w:color="auto"/>
          </w:divBdr>
        </w:div>
        <w:div w:id="1386180649">
          <w:marLeft w:val="0"/>
          <w:marRight w:val="0"/>
          <w:marTop w:val="0"/>
          <w:marBottom w:val="0"/>
          <w:divBdr>
            <w:top w:val="none" w:sz="0" w:space="0" w:color="auto"/>
            <w:left w:val="none" w:sz="0" w:space="0" w:color="auto"/>
            <w:bottom w:val="none" w:sz="0" w:space="0" w:color="auto"/>
            <w:right w:val="none" w:sz="0" w:space="0" w:color="auto"/>
          </w:divBdr>
        </w:div>
        <w:div w:id="1426532356">
          <w:marLeft w:val="0"/>
          <w:marRight w:val="0"/>
          <w:marTop w:val="0"/>
          <w:marBottom w:val="0"/>
          <w:divBdr>
            <w:top w:val="none" w:sz="0" w:space="0" w:color="auto"/>
            <w:left w:val="none" w:sz="0" w:space="0" w:color="auto"/>
            <w:bottom w:val="none" w:sz="0" w:space="0" w:color="auto"/>
            <w:right w:val="none" w:sz="0" w:space="0" w:color="auto"/>
          </w:divBdr>
        </w:div>
        <w:div w:id="1502425570">
          <w:marLeft w:val="0"/>
          <w:marRight w:val="0"/>
          <w:marTop w:val="0"/>
          <w:marBottom w:val="0"/>
          <w:divBdr>
            <w:top w:val="none" w:sz="0" w:space="0" w:color="auto"/>
            <w:left w:val="none" w:sz="0" w:space="0" w:color="auto"/>
            <w:bottom w:val="none" w:sz="0" w:space="0" w:color="auto"/>
            <w:right w:val="none" w:sz="0" w:space="0" w:color="auto"/>
          </w:divBdr>
        </w:div>
        <w:div w:id="1588421643">
          <w:marLeft w:val="0"/>
          <w:marRight w:val="0"/>
          <w:marTop w:val="0"/>
          <w:marBottom w:val="0"/>
          <w:divBdr>
            <w:top w:val="none" w:sz="0" w:space="0" w:color="auto"/>
            <w:left w:val="none" w:sz="0" w:space="0" w:color="auto"/>
            <w:bottom w:val="none" w:sz="0" w:space="0" w:color="auto"/>
            <w:right w:val="none" w:sz="0" w:space="0" w:color="auto"/>
          </w:divBdr>
        </w:div>
        <w:div w:id="1748729437">
          <w:marLeft w:val="0"/>
          <w:marRight w:val="0"/>
          <w:marTop w:val="0"/>
          <w:marBottom w:val="0"/>
          <w:divBdr>
            <w:top w:val="none" w:sz="0" w:space="0" w:color="auto"/>
            <w:left w:val="none" w:sz="0" w:space="0" w:color="auto"/>
            <w:bottom w:val="none" w:sz="0" w:space="0" w:color="auto"/>
            <w:right w:val="none" w:sz="0" w:space="0" w:color="auto"/>
          </w:divBdr>
        </w:div>
        <w:div w:id="1894384097">
          <w:marLeft w:val="0"/>
          <w:marRight w:val="0"/>
          <w:marTop w:val="0"/>
          <w:marBottom w:val="0"/>
          <w:divBdr>
            <w:top w:val="none" w:sz="0" w:space="0" w:color="auto"/>
            <w:left w:val="none" w:sz="0" w:space="0" w:color="auto"/>
            <w:bottom w:val="none" w:sz="0" w:space="0" w:color="auto"/>
            <w:right w:val="none" w:sz="0" w:space="0" w:color="auto"/>
          </w:divBdr>
        </w:div>
        <w:div w:id="2116628473">
          <w:marLeft w:val="0"/>
          <w:marRight w:val="0"/>
          <w:marTop w:val="0"/>
          <w:marBottom w:val="0"/>
          <w:divBdr>
            <w:top w:val="none" w:sz="0" w:space="0" w:color="auto"/>
            <w:left w:val="none" w:sz="0" w:space="0" w:color="auto"/>
            <w:bottom w:val="none" w:sz="0" w:space="0" w:color="auto"/>
            <w:right w:val="none" w:sz="0" w:space="0" w:color="auto"/>
          </w:divBdr>
        </w:div>
        <w:div w:id="2140610377">
          <w:marLeft w:val="0"/>
          <w:marRight w:val="0"/>
          <w:marTop w:val="0"/>
          <w:marBottom w:val="0"/>
          <w:divBdr>
            <w:top w:val="none" w:sz="0" w:space="0" w:color="auto"/>
            <w:left w:val="none" w:sz="0" w:space="0" w:color="auto"/>
            <w:bottom w:val="none" w:sz="0" w:space="0" w:color="auto"/>
            <w:right w:val="none" w:sz="0" w:space="0" w:color="auto"/>
          </w:divBdr>
        </w:div>
      </w:divsChild>
    </w:div>
    <w:div w:id="1855806521">
      <w:bodyDiv w:val="1"/>
      <w:marLeft w:val="0"/>
      <w:marRight w:val="0"/>
      <w:marTop w:val="0"/>
      <w:marBottom w:val="0"/>
      <w:divBdr>
        <w:top w:val="none" w:sz="0" w:space="0" w:color="auto"/>
        <w:left w:val="none" w:sz="0" w:space="0" w:color="auto"/>
        <w:bottom w:val="none" w:sz="0" w:space="0" w:color="auto"/>
        <w:right w:val="none" w:sz="0" w:space="0" w:color="auto"/>
      </w:divBdr>
      <w:divsChild>
        <w:div w:id="87696522">
          <w:marLeft w:val="0"/>
          <w:marRight w:val="0"/>
          <w:marTop w:val="0"/>
          <w:marBottom w:val="0"/>
          <w:divBdr>
            <w:top w:val="none" w:sz="0" w:space="0" w:color="auto"/>
            <w:left w:val="none" w:sz="0" w:space="0" w:color="auto"/>
            <w:bottom w:val="none" w:sz="0" w:space="0" w:color="auto"/>
            <w:right w:val="none" w:sz="0" w:space="0" w:color="auto"/>
          </w:divBdr>
        </w:div>
        <w:div w:id="384794474">
          <w:marLeft w:val="0"/>
          <w:marRight w:val="0"/>
          <w:marTop w:val="0"/>
          <w:marBottom w:val="0"/>
          <w:divBdr>
            <w:top w:val="none" w:sz="0" w:space="0" w:color="auto"/>
            <w:left w:val="none" w:sz="0" w:space="0" w:color="auto"/>
            <w:bottom w:val="none" w:sz="0" w:space="0" w:color="auto"/>
            <w:right w:val="none" w:sz="0" w:space="0" w:color="auto"/>
          </w:divBdr>
        </w:div>
        <w:div w:id="398214903">
          <w:marLeft w:val="0"/>
          <w:marRight w:val="0"/>
          <w:marTop w:val="0"/>
          <w:marBottom w:val="0"/>
          <w:divBdr>
            <w:top w:val="none" w:sz="0" w:space="0" w:color="auto"/>
            <w:left w:val="none" w:sz="0" w:space="0" w:color="auto"/>
            <w:bottom w:val="none" w:sz="0" w:space="0" w:color="auto"/>
            <w:right w:val="none" w:sz="0" w:space="0" w:color="auto"/>
          </w:divBdr>
        </w:div>
        <w:div w:id="408505512">
          <w:marLeft w:val="0"/>
          <w:marRight w:val="0"/>
          <w:marTop w:val="0"/>
          <w:marBottom w:val="0"/>
          <w:divBdr>
            <w:top w:val="none" w:sz="0" w:space="0" w:color="auto"/>
            <w:left w:val="none" w:sz="0" w:space="0" w:color="auto"/>
            <w:bottom w:val="none" w:sz="0" w:space="0" w:color="auto"/>
            <w:right w:val="none" w:sz="0" w:space="0" w:color="auto"/>
          </w:divBdr>
        </w:div>
        <w:div w:id="438185669">
          <w:marLeft w:val="0"/>
          <w:marRight w:val="0"/>
          <w:marTop w:val="0"/>
          <w:marBottom w:val="0"/>
          <w:divBdr>
            <w:top w:val="none" w:sz="0" w:space="0" w:color="auto"/>
            <w:left w:val="none" w:sz="0" w:space="0" w:color="auto"/>
            <w:bottom w:val="none" w:sz="0" w:space="0" w:color="auto"/>
            <w:right w:val="none" w:sz="0" w:space="0" w:color="auto"/>
          </w:divBdr>
        </w:div>
        <w:div w:id="567500772">
          <w:marLeft w:val="0"/>
          <w:marRight w:val="0"/>
          <w:marTop w:val="0"/>
          <w:marBottom w:val="0"/>
          <w:divBdr>
            <w:top w:val="none" w:sz="0" w:space="0" w:color="auto"/>
            <w:left w:val="none" w:sz="0" w:space="0" w:color="auto"/>
            <w:bottom w:val="none" w:sz="0" w:space="0" w:color="auto"/>
            <w:right w:val="none" w:sz="0" w:space="0" w:color="auto"/>
          </w:divBdr>
        </w:div>
        <w:div w:id="773745860">
          <w:marLeft w:val="0"/>
          <w:marRight w:val="0"/>
          <w:marTop w:val="0"/>
          <w:marBottom w:val="0"/>
          <w:divBdr>
            <w:top w:val="none" w:sz="0" w:space="0" w:color="auto"/>
            <w:left w:val="none" w:sz="0" w:space="0" w:color="auto"/>
            <w:bottom w:val="none" w:sz="0" w:space="0" w:color="auto"/>
            <w:right w:val="none" w:sz="0" w:space="0" w:color="auto"/>
          </w:divBdr>
        </w:div>
        <w:div w:id="786891830">
          <w:marLeft w:val="0"/>
          <w:marRight w:val="0"/>
          <w:marTop w:val="0"/>
          <w:marBottom w:val="0"/>
          <w:divBdr>
            <w:top w:val="none" w:sz="0" w:space="0" w:color="auto"/>
            <w:left w:val="none" w:sz="0" w:space="0" w:color="auto"/>
            <w:bottom w:val="none" w:sz="0" w:space="0" w:color="auto"/>
            <w:right w:val="none" w:sz="0" w:space="0" w:color="auto"/>
          </w:divBdr>
        </w:div>
        <w:div w:id="847794890">
          <w:marLeft w:val="0"/>
          <w:marRight w:val="0"/>
          <w:marTop w:val="0"/>
          <w:marBottom w:val="0"/>
          <w:divBdr>
            <w:top w:val="none" w:sz="0" w:space="0" w:color="auto"/>
            <w:left w:val="none" w:sz="0" w:space="0" w:color="auto"/>
            <w:bottom w:val="none" w:sz="0" w:space="0" w:color="auto"/>
            <w:right w:val="none" w:sz="0" w:space="0" w:color="auto"/>
          </w:divBdr>
        </w:div>
        <w:div w:id="1008293064">
          <w:marLeft w:val="0"/>
          <w:marRight w:val="0"/>
          <w:marTop w:val="0"/>
          <w:marBottom w:val="0"/>
          <w:divBdr>
            <w:top w:val="none" w:sz="0" w:space="0" w:color="auto"/>
            <w:left w:val="none" w:sz="0" w:space="0" w:color="auto"/>
            <w:bottom w:val="none" w:sz="0" w:space="0" w:color="auto"/>
            <w:right w:val="none" w:sz="0" w:space="0" w:color="auto"/>
          </w:divBdr>
        </w:div>
        <w:div w:id="1039085037">
          <w:marLeft w:val="0"/>
          <w:marRight w:val="0"/>
          <w:marTop w:val="0"/>
          <w:marBottom w:val="0"/>
          <w:divBdr>
            <w:top w:val="none" w:sz="0" w:space="0" w:color="auto"/>
            <w:left w:val="none" w:sz="0" w:space="0" w:color="auto"/>
            <w:bottom w:val="none" w:sz="0" w:space="0" w:color="auto"/>
            <w:right w:val="none" w:sz="0" w:space="0" w:color="auto"/>
          </w:divBdr>
        </w:div>
        <w:div w:id="1049300877">
          <w:marLeft w:val="0"/>
          <w:marRight w:val="0"/>
          <w:marTop w:val="0"/>
          <w:marBottom w:val="0"/>
          <w:divBdr>
            <w:top w:val="none" w:sz="0" w:space="0" w:color="auto"/>
            <w:left w:val="none" w:sz="0" w:space="0" w:color="auto"/>
            <w:bottom w:val="none" w:sz="0" w:space="0" w:color="auto"/>
            <w:right w:val="none" w:sz="0" w:space="0" w:color="auto"/>
          </w:divBdr>
        </w:div>
        <w:div w:id="1068960849">
          <w:marLeft w:val="0"/>
          <w:marRight w:val="0"/>
          <w:marTop w:val="0"/>
          <w:marBottom w:val="0"/>
          <w:divBdr>
            <w:top w:val="none" w:sz="0" w:space="0" w:color="auto"/>
            <w:left w:val="none" w:sz="0" w:space="0" w:color="auto"/>
            <w:bottom w:val="none" w:sz="0" w:space="0" w:color="auto"/>
            <w:right w:val="none" w:sz="0" w:space="0" w:color="auto"/>
          </w:divBdr>
        </w:div>
        <w:div w:id="1201557117">
          <w:marLeft w:val="0"/>
          <w:marRight w:val="0"/>
          <w:marTop w:val="0"/>
          <w:marBottom w:val="0"/>
          <w:divBdr>
            <w:top w:val="none" w:sz="0" w:space="0" w:color="auto"/>
            <w:left w:val="none" w:sz="0" w:space="0" w:color="auto"/>
            <w:bottom w:val="none" w:sz="0" w:space="0" w:color="auto"/>
            <w:right w:val="none" w:sz="0" w:space="0" w:color="auto"/>
          </w:divBdr>
        </w:div>
        <w:div w:id="1369791870">
          <w:marLeft w:val="0"/>
          <w:marRight w:val="0"/>
          <w:marTop w:val="0"/>
          <w:marBottom w:val="0"/>
          <w:divBdr>
            <w:top w:val="none" w:sz="0" w:space="0" w:color="auto"/>
            <w:left w:val="none" w:sz="0" w:space="0" w:color="auto"/>
            <w:bottom w:val="none" w:sz="0" w:space="0" w:color="auto"/>
            <w:right w:val="none" w:sz="0" w:space="0" w:color="auto"/>
          </w:divBdr>
        </w:div>
        <w:div w:id="1429809262">
          <w:marLeft w:val="0"/>
          <w:marRight w:val="0"/>
          <w:marTop w:val="0"/>
          <w:marBottom w:val="0"/>
          <w:divBdr>
            <w:top w:val="none" w:sz="0" w:space="0" w:color="auto"/>
            <w:left w:val="none" w:sz="0" w:space="0" w:color="auto"/>
            <w:bottom w:val="none" w:sz="0" w:space="0" w:color="auto"/>
            <w:right w:val="none" w:sz="0" w:space="0" w:color="auto"/>
          </w:divBdr>
        </w:div>
        <w:div w:id="1452016297">
          <w:marLeft w:val="0"/>
          <w:marRight w:val="0"/>
          <w:marTop w:val="0"/>
          <w:marBottom w:val="0"/>
          <w:divBdr>
            <w:top w:val="none" w:sz="0" w:space="0" w:color="auto"/>
            <w:left w:val="none" w:sz="0" w:space="0" w:color="auto"/>
            <w:bottom w:val="none" w:sz="0" w:space="0" w:color="auto"/>
            <w:right w:val="none" w:sz="0" w:space="0" w:color="auto"/>
          </w:divBdr>
        </w:div>
        <w:div w:id="2060399027">
          <w:marLeft w:val="0"/>
          <w:marRight w:val="0"/>
          <w:marTop w:val="0"/>
          <w:marBottom w:val="0"/>
          <w:divBdr>
            <w:top w:val="none" w:sz="0" w:space="0" w:color="auto"/>
            <w:left w:val="none" w:sz="0" w:space="0" w:color="auto"/>
            <w:bottom w:val="none" w:sz="0" w:space="0" w:color="auto"/>
            <w:right w:val="none" w:sz="0" w:space="0" w:color="auto"/>
          </w:divBdr>
        </w:div>
        <w:div w:id="2097168617">
          <w:marLeft w:val="0"/>
          <w:marRight w:val="0"/>
          <w:marTop w:val="0"/>
          <w:marBottom w:val="0"/>
          <w:divBdr>
            <w:top w:val="none" w:sz="0" w:space="0" w:color="auto"/>
            <w:left w:val="none" w:sz="0" w:space="0" w:color="auto"/>
            <w:bottom w:val="none" w:sz="0" w:space="0" w:color="auto"/>
            <w:right w:val="none" w:sz="0" w:space="0" w:color="auto"/>
          </w:divBdr>
        </w:div>
      </w:divsChild>
    </w:div>
    <w:div w:id="20486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hyperlink" Target="mailto:Bevis.ingram@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3F885-C50E-4D10-9932-5A4F17C76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D59EBE-AA18-46C9-828E-0A2BCE7772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FF0F2-69C1-4D53-9622-19BC66378321}">
  <ds:schemaRefs>
    <ds:schemaRef ds:uri="http://schemas.microsoft.com/sharepoint/v3/contenttype/forms"/>
  </ds:schemaRefs>
</ds:datastoreItem>
</file>

<file path=customXml/itemProps4.xml><?xml version="1.0" encoding="utf-8"?>
<ds:datastoreItem xmlns:ds="http://schemas.openxmlformats.org/officeDocument/2006/customXml" ds:itemID="{D12063D9-9210-47CD-B7EE-FC529758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3</Pages>
  <Words>985</Words>
  <Characters>5376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6349</CharactersWithSpaces>
  <SharedDoc>false</SharedDoc>
  <HLinks>
    <vt:vector size="6" baseType="variant">
      <vt:variant>
        <vt:i4>4653101</vt:i4>
      </vt:variant>
      <vt:variant>
        <vt:i4>0</vt:i4>
      </vt:variant>
      <vt:variant>
        <vt:i4>0</vt:i4>
      </vt:variant>
      <vt:variant>
        <vt:i4>5</vt:i4>
      </vt:variant>
      <vt:variant>
        <vt:lpwstr>mailto:Aeneas.tole@local.go.v.uk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laura.caton</dc:creator>
  <cp:lastModifiedBy>Paul Goodchild</cp:lastModifiedBy>
  <cp:revision>2</cp:revision>
  <cp:lastPrinted>2017-03-17T16:41:00Z</cp:lastPrinted>
  <dcterms:created xsi:type="dcterms:W3CDTF">2017-03-24T10:18:00Z</dcterms:created>
  <dcterms:modified xsi:type="dcterms:W3CDTF">2017-03-24T10:18:00Z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0x010100FEE5BA3CF05C2B44AD2FE3938AF8E31D</vt:lpwstr>
  </property>
</Properties>
</file>